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F397C6" w14:textId="77777777" w:rsidR="00757A69" w:rsidRDefault="00757A69">
      <w:pPr>
        <w:pStyle w:val="Telobesedila"/>
        <w:rPr>
          <w:rFonts w:ascii="Times New Roman"/>
        </w:rPr>
      </w:pPr>
    </w:p>
    <w:p w14:paraId="0E125994" w14:textId="77777777" w:rsidR="00757A69" w:rsidRDefault="00757A69">
      <w:pPr>
        <w:pStyle w:val="Telobesedila"/>
        <w:rPr>
          <w:rFonts w:ascii="Times New Roman"/>
        </w:rPr>
      </w:pPr>
    </w:p>
    <w:p w14:paraId="710343A7" w14:textId="77777777" w:rsidR="00757A69" w:rsidRDefault="00757A69">
      <w:pPr>
        <w:pStyle w:val="Telobesedila"/>
        <w:rPr>
          <w:rFonts w:ascii="Times New Roman"/>
        </w:rPr>
      </w:pPr>
    </w:p>
    <w:p w14:paraId="2547430C" w14:textId="77777777" w:rsidR="00757A69" w:rsidRDefault="00757A69">
      <w:pPr>
        <w:pStyle w:val="Telobesedila"/>
        <w:rPr>
          <w:rFonts w:ascii="Times New Roman"/>
        </w:rPr>
      </w:pPr>
    </w:p>
    <w:p w14:paraId="39E3F40F" w14:textId="77777777" w:rsidR="00757A69" w:rsidRDefault="00757A69">
      <w:pPr>
        <w:pStyle w:val="Telobesedila"/>
        <w:rPr>
          <w:rFonts w:ascii="Times New Roman"/>
        </w:rPr>
      </w:pPr>
    </w:p>
    <w:p w14:paraId="7916AEF9" w14:textId="77777777" w:rsidR="00757A69" w:rsidRDefault="00757A69">
      <w:pPr>
        <w:pStyle w:val="Telobesedila"/>
        <w:rPr>
          <w:rFonts w:ascii="Times New Roman"/>
        </w:rPr>
      </w:pPr>
    </w:p>
    <w:p w14:paraId="76438A41" w14:textId="77777777" w:rsidR="00757A69" w:rsidRDefault="00757A69">
      <w:pPr>
        <w:pStyle w:val="Telobesedila"/>
        <w:rPr>
          <w:rFonts w:ascii="Times New Roman"/>
        </w:rPr>
      </w:pPr>
    </w:p>
    <w:p w14:paraId="181BCCF0" w14:textId="77777777" w:rsidR="00757A69" w:rsidRDefault="00757A69">
      <w:pPr>
        <w:pStyle w:val="Telobesedila"/>
        <w:rPr>
          <w:rFonts w:ascii="Times New Roman"/>
        </w:rPr>
      </w:pPr>
    </w:p>
    <w:p w14:paraId="7D91C742" w14:textId="77777777" w:rsidR="00757A69" w:rsidRDefault="00757A69">
      <w:pPr>
        <w:pStyle w:val="Telobesedila"/>
        <w:rPr>
          <w:rFonts w:ascii="Times New Roman"/>
        </w:rPr>
      </w:pPr>
    </w:p>
    <w:p w14:paraId="5C963865" w14:textId="77777777" w:rsidR="00757A69" w:rsidRDefault="00757A69">
      <w:pPr>
        <w:pStyle w:val="Telobesedila"/>
        <w:rPr>
          <w:rFonts w:ascii="Times New Roman"/>
        </w:rPr>
      </w:pPr>
    </w:p>
    <w:p w14:paraId="09FE59A1" w14:textId="77777777" w:rsidR="00757A69" w:rsidRDefault="00757A69">
      <w:pPr>
        <w:pStyle w:val="Telobesedila"/>
        <w:rPr>
          <w:rFonts w:ascii="Times New Roman"/>
        </w:rPr>
      </w:pPr>
    </w:p>
    <w:p w14:paraId="7DC12E48" w14:textId="77777777" w:rsidR="00757A69" w:rsidRDefault="00757A69">
      <w:pPr>
        <w:pStyle w:val="Telobesedila"/>
        <w:rPr>
          <w:rFonts w:ascii="Times New Roman"/>
        </w:rPr>
      </w:pPr>
    </w:p>
    <w:p w14:paraId="77197438" w14:textId="77777777" w:rsidR="00757A69" w:rsidRDefault="00757A69">
      <w:pPr>
        <w:pStyle w:val="Telobesedila"/>
        <w:rPr>
          <w:rFonts w:ascii="Times New Roman"/>
        </w:rPr>
      </w:pPr>
    </w:p>
    <w:p w14:paraId="268C701F" w14:textId="77777777" w:rsidR="00757A69" w:rsidRDefault="00757A69">
      <w:pPr>
        <w:pStyle w:val="Telobesedila"/>
        <w:rPr>
          <w:rFonts w:ascii="Times New Roman"/>
        </w:rPr>
      </w:pPr>
    </w:p>
    <w:p w14:paraId="74B61EC3" w14:textId="77777777" w:rsidR="00757A69" w:rsidRDefault="00757A69">
      <w:pPr>
        <w:pStyle w:val="Telobesedila"/>
        <w:rPr>
          <w:rFonts w:ascii="Times New Roman"/>
        </w:rPr>
      </w:pPr>
    </w:p>
    <w:p w14:paraId="09C72650" w14:textId="77777777" w:rsidR="00757A69" w:rsidRDefault="00757A69">
      <w:pPr>
        <w:pStyle w:val="Telobesedila"/>
        <w:rPr>
          <w:rFonts w:ascii="Times New Roman"/>
        </w:rPr>
      </w:pPr>
    </w:p>
    <w:p w14:paraId="38158E20" w14:textId="77777777" w:rsidR="00757A69" w:rsidRDefault="00757A69">
      <w:pPr>
        <w:pStyle w:val="Telobesedila"/>
        <w:spacing w:before="5"/>
        <w:rPr>
          <w:rFonts w:ascii="Times New Roman"/>
          <w:sz w:val="27"/>
        </w:rPr>
      </w:pPr>
    </w:p>
    <w:p w14:paraId="2DFA2AE8" w14:textId="77777777" w:rsidR="00757A69" w:rsidRDefault="00757A69">
      <w:pPr>
        <w:rPr>
          <w:rFonts w:ascii="Times New Roman"/>
          <w:sz w:val="27"/>
        </w:rPr>
        <w:sectPr w:rsidR="00757A69">
          <w:footerReference w:type="default" r:id="rId6"/>
          <w:type w:val="continuous"/>
          <w:pgSz w:w="11910" w:h="16850"/>
          <w:pgMar w:top="0" w:right="120" w:bottom="340" w:left="360" w:header="708" w:footer="145" w:gutter="0"/>
          <w:pgNumType w:start="1"/>
          <w:cols w:space="708"/>
        </w:sectPr>
      </w:pPr>
    </w:p>
    <w:p w14:paraId="714CD27B" w14:textId="77777777" w:rsidR="00757A69" w:rsidRDefault="00000000">
      <w:pPr>
        <w:pStyle w:val="P68B1DB1-Normal1"/>
        <w:spacing w:before="102"/>
        <w:ind w:left="476"/>
      </w:pPr>
      <w:r>
        <w:t>JULIJ 2024</w:t>
      </w:r>
    </w:p>
    <w:p w14:paraId="2B33AE79" w14:textId="77777777" w:rsidR="00757A69" w:rsidRDefault="00000000">
      <w:pPr>
        <w:pStyle w:val="P68B1DB1-Title2"/>
      </w:pPr>
      <w:proofErr w:type="spellStart"/>
      <w:r>
        <w:t>ioreSME</w:t>
      </w:r>
      <w:proofErr w:type="spellEnd"/>
    </w:p>
    <w:p w14:paraId="78B9201C" w14:textId="77777777" w:rsidR="00757A69" w:rsidRDefault="00000000">
      <w:pPr>
        <w:pStyle w:val="P68B1DB1-Normal3"/>
        <w:spacing w:line="1072" w:lineRule="exact"/>
        <w:ind w:left="476"/>
      </w:pPr>
      <w:r>
        <w:t>Bilten</w:t>
      </w:r>
    </w:p>
    <w:p w14:paraId="7111CF4D" w14:textId="77777777" w:rsidR="00757A69" w:rsidRDefault="00000000">
      <w:pPr>
        <w:pStyle w:val="Telobesedila"/>
        <w:rPr>
          <w:rFonts w:ascii="Georgia"/>
          <w:sz w:val="26"/>
        </w:rPr>
      </w:pPr>
      <w:r>
        <w:br w:type="column"/>
      </w:r>
    </w:p>
    <w:p w14:paraId="534AA400" w14:textId="77777777" w:rsidR="00757A69" w:rsidRDefault="00757A69">
      <w:pPr>
        <w:pStyle w:val="Telobesedila"/>
        <w:rPr>
          <w:rFonts w:ascii="Georgia"/>
          <w:sz w:val="26"/>
        </w:rPr>
      </w:pPr>
    </w:p>
    <w:p w14:paraId="7182648C" w14:textId="77777777" w:rsidR="00757A69" w:rsidRDefault="00757A69">
      <w:pPr>
        <w:pStyle w:val="Telobesedila"/>
        <w:rPr>
          <w:rFonts w:ascii="Georgia"/>
          <w:sz w:val="26"/>
        </w:rPr>
      </w:pPr>
    </w:p>
    <w:p w14:paraId="325832D1" w14:textId="77777777" w:rsidR="00757A69" w:rsidRDefault="00757A69">
      <w:pPr>
        <w:pStyle w:val="Telobesedila"/>
        <w:rPr>
          <w:rFonts w:ascii="Georgia"/>
          <w:sz w:val="26"/>
        </w:rPr>
      </w:pPr>
    </w:p>
    <w:p w14:paraId="7CA23B63" w14:textId="77777777" w:rsidR="00757A69" w:rsidRDefault="00757A69">
      <w:pPr>
        <w:pStyle w:val="Telobesedila"/>
        <w:rPr>
          <w:rFonts w:ascii="Georgia"/>
          <w:sz w:val="26"/>
        </w:rPr>
      </w:pPr>
    </w:p>
    <w:p w14:paraId="76CD3F65" w14:textId="77777777" w:rsidR="00757A69" w:rsidRDefault="00757A69">
      <w:pPr>
        <w:pStyle w:val="Telobesedila"/>
        <w:rPr>
          <w:rFonts w:ascii="Georgia"/>
          <w:sz w:val="26"/>
        </w:rPr>
      </w:pPr>
    </w:p>
    <w:p w14:paraId="3B05FE67" w14:textId="77777777" w:rsidR="00757A69" w:rsidRDefault="00757A69">
      <w:pPr>
        <w:pStyle w:val="Telobesedila"/>
        <w:rPr>
          <w:rFonts w:ascii="Georgia"/>
          <w:sz w:val="26"/>
        </w:rPr>
      </w:pPr>
    </w:p>
    <w:p w14:paraId="6FFD80DE" w14:textId="77777777" w:rsidR="00757A69" w:rsidRDefault="00757A69">
      <w:pPr>
        <w:pStyle w:val="Telobesedila"/>
        <w:rPr>
          <w:rFonts w:ascii="Georgia"/>
          <w:sz w:val="26"/>
        </w:rPr>
      </w:pPr>
    </w:p>
    <w:p w14:paraId="6B45C17A" w14:textId="77777777" w:rsidR="00757A69" w:rsidRDefault="00000000" w:rsidP="00EF129F">
      <w:pPr>
        <w:pStyle w:val="P68B1DB1-BodyText4"/>
        <w:spacing w:before="213"/>
      </w:pPr>
      <w:r>
        <w:t>P R O J E C T 1 0 1 0 5 1 8 6 0</w:t>
      </w:r>
    </w:p>
    <w:p w14:paraId="6E1C56D6" w14:textId="77777777" w:rsidR="00757A69" w:rsidRDefault="00757A69">
      <w:pPr>
        <w:sectPr w:rsidR="00757A69">
          <w:type w:val="continuous"/>
          <w:pgSz w:w="11910" w:h="16850"/>
          <w:pgMar w:top="0" w:right="120" w:bottom="340" w:left="360" w:header="708" w:footer="708" w:gutter="0"/>
          <w:cols w:num="2" w:space="708" w:equalWidth="0">
            <w:col w:w="5397" w:space="2607"/>
            <w:col w:w="3426"/>
          </w:cols>
        </w:sectPr>
      </w:pPr>
    </w:p>
    <w:p w14:paraId="503C30C6" w14:textId="77777777" w:rsidR="00757A69" w:rsidRDefault="00000000">
      <w:pPr>
        <w:pStyle w:val="Telobesedila"/>
      </w:pPr>
      <w:r>
        <w:rPr>
          <w:noProof/>
        </w:rPr>
        <w:drawing>
          <wp:anchor distT="0" distB="0" distL="0" distR="0" simplePos="0" relativeHeight="487427072" behindDoc="1" locked="0" layoutInCell="1" allowOverlap="1" wp14:anchorId="18E70203" wp14:editId="7144FBE9">
            <wp:simplePos x="0" y="0"/>
            <wp:positionH relativeFrom="page">
              <wp:posOffset>0</wp:posOffset>
            </wp:positionH>
            <wp:positionV relativeFrom="page">
              <wp:posOffset>0</wp:posOffset>
            </wp:positionV>
            <wp:extent cx="7562849" cy="455546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62849" cy="4555461"/>
                    </a:xfrm>
                    <a:prstGeom prst="rect">
                      <a:avLst/>
                    </a:prstGeom>
                  </pic:spPr>
                </pic:pic>
              </a:graphicData>
            </a:graphic>
          </wp:anchor>
        </w:drawing>
      </w:r>
    </w:p>
    <w:p w14:paraId="3027FE76" w14:textId="77777777" w:rsidR="00757A69" w:rsidRDefault="00757A69">
      <w:pPr>
        <w:pStyle w:val="Telobesedila"/>
      </w:pPr>
    </w:p>
    <w:p w14:paraId="0959C93D" w14:textId="77777777" w:rsidR="00757A69" w:rsidRDefault="00757A69">
      <w:pPr>
        <w:pStyle w:val="Telobesedila"/>
        <w:rPr>
          <w:sz w:val="26"/>
        </w:rPr>
      </w:pPr>
    </w:p>
    <w:p w14:paraId="5489F0DE" w14:textId="77777777" w:rsidR="00757A69" w:rsidRDefault="00000000">
      <w:pPr>
        <w:pStyle w:val="Naslov1"/>
        <w:spacing w:before="173"/>
        <w:ind w:left="319"/>
      </w:pPr>
      <w:r>
        <w:pict w14:anchorId="7E811D24">
          <v:group id="_x0000_s2061" style="position:absolute;left:0;text-align:left;margin-left:390.6pt;margin-top:-9.6pt;width:204.95pt;height:159.6pt;z-index:15728640;mso-position-horizontal-relative:page" coordorigin="7812,-192" coordsize="4099,3192">
            <v:shape id="_x0000_s2065" style="position:absolute;left:7811;top:-192;width:4099;height:3192" coordorigin="7812,-192" coordsize="4099,3192" path="m11910,2999r-3798,l8043,2991r-63,-22l7924,2933r-46,-46l7842,2831r-22,-63l7812,2699r,-2591l7820,39r22,-63l7878,-79r46,-47l7980,-161r63,-23l8112,-192r3798,l11910,2999xe" fillcolor="#153c61" stroked="f">
              <v:path arrowok="t"/>
            </v:shape>
            <v:rect id="_x0000_s2064" style="position:absolute;left:8126;top:763;width:1140;height:90" stroked="f"/>
            <v:shapetype id="_x0000_t202" coordsize="21600,21600" o:spt="202" path="m,l,21600r21600,l21600,xe">
              <v:stroke joinstyle="miter"/>
              <v:path gradientshapeok="t" o:connecttype="rect"/>
            </v:shapetype>
            <v:shape id="_x0000_s2063" type="#_x0000_t202" style="position:absolute;left:8126;top:73;width:1896;height:311" filled="f" stroked="f">
              <v:textbox inset="0,0,0,0">
                <w:txbxContent>
                  <w:p w14:paraId="3FD83422" w14:textId="77777777" w:rsidR="00757A69" w:rsidRDefault="00000000">
                    <w:pPr>
                      <w:pStyle w:val="P68B1DB1-Normal5"/>
                      <w:spacing w:before="3"/>
                    </w:pPr>
                    <w:r>
                      <w:t>V tej izdaji</w:t>
                    </w:r>
                  </w:p>
                </w:txbxContent>
              </v:textbox>
            </v:shape>
            <v:shape id="_x0000_s2062" type="#_x0000_t202" style="position:absolute;left:8126;top:1069;width:3548;height:1712" filled="f" stroked="f">
              <v:textbox inset="0,0,0,0">
                <w:txbxContent>
                  <w:p w14:paraId="24931405" w14:textId="77777777" w:rsidR="00757A69" w:rsidRDefault="00000000">
                    <w:pPr>
                      <w:pStyle w:val="P68B1DB1-Normal6"/>
                      <w:spacing w:before="3"/>
                    </w:pPr>
                    <w:r>
                      <w:t>Okolju prijaznejši na morju</w:t>
                    </w:r>
                  </w:p>
                  <w:p w14:paraId="3973C6F4" w14:textId="77777777" w:rsidR="00757A69" w:rsidRDefault="00757A69">
                    <w:pPr>
                      <w:spacing w:before="10"/>
                    </w:pPr>
                  </w:p>
                  <w:p w14:paraId="29A44EE4" w14:textId="77777777" w:rsidR="00757A69" w:rsidRDefault="00000000">
                    <w:pPr>
                      <w:pStyle w:val="P68B1DB1-Normal6"/>
                      <w:spacing w:before="1" w:line="288" w:lineRule="exact"/>
                    </w:pPr>
                    <w:r>
                      <w:t>Prednostna področja za</w:t>
                    </w:r>
                  </w:p>
                  <w:p w14:paraId="1F7348E9" w14:textId="77777777" w:rsidR="00757A69" w:rsidRDefault="00000000">
                    <w:pPr>
                      <w:pStyle w:val="P68B1DB1-Normal6"/>
                      <w:spacing w:line="288" w:lineRule="exact"/>
                    </w:pPr>
                    <w:r>
                      <w:t>Evropska komisija 2024–2029</w:t>
                    </w:r>
                  </w:p>
                  <w:p w14:paraId="24C0E272" w14:textId="77777777" w:rsidR="00757A69" w:rsidRDefault="00000000">
                    <w:pPr>
                      <w:pStyle w:val="P68B1DB1-Normal6"/>
                      <w:spacing w:before="254"/>
                    </w:pPr>
                    <w:r>
                      <w:t>Zadnje novice</w:t>
                    </w:r>
                  </w:p>
                </w:txbxContent>
              </v:textbox>
            </v:shape>
            <w10:wrap anchorx="page"/>
          </v:group>
        </w:pict>
      </w:r>
      <w:r>
        <w:rPr>
          <w:color w:val="153C61"/>
        </w:rPr>
        <w:t>GREENER NA MORJU</w:t>
      </w:r>
    </w:p>
    <w:p w14:paraId="4AEA47F8" w14:textId="77777777" w:rsidR="00757A69" w:rsidRDefault="00000000">
      <w:pPr>
        <w:pStyle w:val="Telobesedila"/>
        <w:spacing w:before="271" w:line="326" w:lineRule="auto"/>
        <w:ind w:left="347" w:right="5101"/>
      </w:pPr>
      <w:r>
        <w:t xml:space="preserve">Pobuda </w:t>
      </w:r>
      <w:proofErr w:type="spellStart"/>
      <w:r>
        <w:t>FuelEU</w:t>
      </w:r>
      <w:proofErr w:type="spellEnd"/>
      <w:r>
        <w:t xml:space="preserve"> za pomorstvo je pomemben korak v tekočih prizadevanjih Evropske unije za razogljičenje pomorskega sektorja, ki je ključni element širšega svežnja „Pripravljeni na 55“. Ta sveženj je sestavni del ambicioznega cilja EU glede zmanjšanja neto emisij toplogrednih plinov za vsaj 55 % do leta 2030, da bi do leta 2050 dosegli podnebno nevtralnost. Uredba je bila uradno sprejeta julija 2023 in pomeni odločilen korak v smeri trajnostnega pomorskega prometa.</w:t>
      </w:r>
    </w:p>
    <w:p w14:paraId="18D7CE56" w14:textId="77777777" w:rsidR="00757A69" w:rsidRDefault="00757A69">
      <w:pPr>
        <w:pStyle w:val="Telobesedila"/>
        <w:rPr>
          <w:sz w:val="26"/>
        </w:rPr>
      </w:pPr>
    </w:p>
    <w:p w14:paraId="2A137988" w14:textId="77777777" w:rsidR="00757A69" w:rsidRDefault="00000000">
      <w:pPr>
        <w:pStyle w:val="Telobesedila"/>
        <w:spacing w:before="103" w:line="326" w:lineRule="auto"/>
        <w:ind w:left="347" w:right="970"/>
      </w:pPr>
      <w:r>
        <w:t xml:space="preserve">Glavni cilj uredbe </w:t>
      </w:r>
      <w:proofErr w:type="spellStart"/>
      <w:r>
        <w:t>FuelEU</w:t>
      </w:r>
      <w:proofErr w:type="spellEnd"/>
      <w:r>
        <w:t xml:space="preserve"> za pomorstvo je spodbuditi sprejetje in dosledno uporabo obnovljivih in </w:t>
      </w:r>
      <w:proofErr w:type="spellStart"/>
      <w:r>
        <w:t>nizkoogljičnih</w:t>
      </w:r>
      <w:proofErr w:type="spellEnd"/>
      <w:r>
        <w:t xml:space="preserve"> goriv v pomorski industriji. Namen te pobude je drastično zmanjšati emisije toplogrednih plinov iz sektorja ladijskega prometa, ki je v preteklosti pomembno prispeval k svetovnim emisijam. Uredba zagotavlja, da je pomorski sektor usklajen s splošnimi podnebnimi cilji EU, in sicer z določitvijo jasnih in progresivnih ciljev.</w:t>
      </w:r>
    </w:p>
    <w:p w14:paraId="482A2A67" w14:textId="77777777" w:rsidR="00757A69" w:rsidRDefault="00757A69">
      <w:pPr>
        <w:pStyle w:val="Telobesedila"/>
        <w:spacing w:before="11"/>
        <w:rPr>
          <w:sz w:val="26"/>
        </w:rPr>
      </w:pPr>
    </w:p>
    <w:p w14:paraId="14A97CA6" w14:textId="77777777" w:rsidR="00757A69" w:rsidRDefault="00000000">
      <w:pPr>
        <w:pStyle w:val="Telobesedila"/>
        <w:spacing w:line="326" w:lineRule="auto"/>
        <w:ind w:left="347" w:right="970"/>
      </w:pPr>
      <w:r>
        <w:t>Uredba od leta 2025 zahteva 2-odstotno zmanjšanje intenzivnosti toplogrednih plinov goriv, ki jih uporabljajo ladje, do leta 2050 pa naj bi se zmanjšala za 80 %. Ti cilji so zasnovani tako, da bodo postali ambicioznejši, da bodo spodbujali stalen tehnološki napredek ter večjo proizvodnjo in uporabo trajnostnih goriv za plovila. Področje uporabe uredbe vključuje emisije ogljikovega dioksida ter emisije metana in dušikovega oksida, ocenjene na podlagi načela „od izvora do brazde“, ki upošteva celoten življenjski cikel goriv, ki se uporabljajo na krovu.</w:t>
      </w:r>
    </w:p>
    <w:p w14:paraId="451FADDE" w14:textId="77777777" w:rsidR="00757A69" w:rsidRDefault="00757A69">
      <w:pPr>
        <w:spacing w:line="326" w:lineRule="auto"/>
        <w:sectPr w:rsidR="00757A69">
          <w:type w:val="continuous"/>
          <w:pgSz w:w="11910" w:h="16850"/>
          <w:pgMar w:top="0" w:right="120" w:bottom="340" w:left="360" w:header="708" w:footer="708" w:gutter="0"/>
          <w:cols w:space="708"/>
        </w:sectPr>
      </w:pPr>
    </w:p>
    <w:p w14:paraId="6B5DF503" w14:textId="77777777" w:rsidR="00757A69" w:rsidRDefault="00000000">
      <w:pPr>
        <w:pStyle w:val="Telobesedila"/>
      </w:pPr>
      <w:r>
        <w:rPr>
          <w:noProof/>
        </w:rPr>
        <w:lastRenderedPageBreak/>
        <w:drawing>
          <wp:anchor distT="0" distB="0" distL="0" distR="0" simplePos="0" relativeHeight="487427584" behindDoc="1" locked="0" layoutInCell="1" allowOverlap="1" wp14:anchorId="3A47E5E4" wp14:editId="734B2062">
            <wp:simplePos x="0" y="0"/>
            <wp:positionH relativeFrom="page">
              <wp:posOffset>0</wp:posOffset>
            </wp:positionH>
            <wp:positionV relativeFrom="page">
              <wp:posOffset>0</wp:posOffset>
            </wp:positionV>
            <wp:extent cx="7562849" cy="421957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7562849" cy="4219574"/>
                    </a:xfrm>
                    <a:prstGeom prst="rect">
                      <a:avLst/>
                    </a:prstGeom>
                  </pic:spPr>
                </pic:pic>
              </a:graphicData>
            </a:graphic>
          </wp:anchor>
        </w:drawing>
      </w:r>
    </w:p>
    <w:p w14:paraId="0E8D6C5A" w14:textId="77777777" w:rsidR="00757A69" w:rsidRDefault="00757A69">
      <w:pPr>
        <w:pStyle w:val="Telobesedila"/>
      </w:pPr>
    </w:p>
    <w:p w14:paraId="628280B3" w14:textId="77777777" w:rsidR="00757A69" w:rsidRDefault="00757A69">
      <w:pPr>
        <w:pStyle w:val="Telobesedila"/>
      </w:pPr>
    </w:p>
    <w:p w14:paraId="43904239" w14:textId="77777777" w:rsidR="00757A69" w:rsidRDefault="00757A69">
      <w:pPr>
        <w:pStyle w:val="Telobesedila"/>
      </w:pPr>
    </w:p>
    <w:p w14:paraId="10494D77" w14:textId="77777777" w:rsidR="00757A69" w:rsidRDefault="00757A69">
      <w:pPr>
        <w:pStyle w:val="Telobesedila"/>
      </w:pPr>
    </w:p>
    <w:p w14:paraId="672D9004" w14:textId="77777777" w:rsidR="00757A69" w:rsidRDefault="00757A69">
      <w:pPr>
        <w:pStyle w:val="Telobesedila"/>
      </w:pPr>
    </w:p>
    <w:p w14:paraId="59FAD5B9" w14:textId="77777777" w:rsidR="00757A69" w:rsidRDefault="00757A69">
      <w:pPr>
        <w:pStyle w:val="Telobesedila"/>
      </w:pPr>
    </w:p>
    <w:p w14:paraId="06E6061C" w14:textId="77777777" w:rsidR="00757A69" w:rsidRDefault="00757A69">
      <w:pPr>
        <w:pStyle w:val="Telobesedila"/>
      </w:pPr>
    </w:p>
    <w:p w14:paraId="418502DD" w14:textId="77777777" w:rsidR="00757A69" w:rsidRDefault="00757A69">
      <w:pPr>
        <w:pStyle w:val="Telobesedila"/>
      </w:pPr>
    </w:p>
    <w:p w14:paraId="26CBB5F3" w14:textId="77777777" w:rsidR="00757A69" w:rsidRDefault="00757A69">
      <w:pPr>
        <w:pStyle w:val="Telobesedila"/>
      </w:pPr>
    </w:p>
    <w:p w14:paraId="700FE0B3" w14:textId="77777777" w:rsidR="00757A69" w:rsidRDefault="00757A69">
      <w:pPr>
        <w:pStyle w:val="Telobesedila"/>
      </w:pPr>
    </w:p>
    <w:p w14:paraId="2C2C206D" w14:textId="77777777" w:rsidR="00757A69" w:rsidRDefault="00757A69">
      <w:pPr>
        <w:pStyle w:val="Telobesedila"/>
      </w:pPr>
    </w:p>
    <w:p w14:paraId="33E4B091" w14:textId="77777777" w:rsidR="00757A69" w:rsidRDefault="00757A69">
      <w:pPr>
        <w:pStyle w:val="Telobesedila"/>
      </w:pPr>
    </w:p>
    <w:p w14:paraId="675682A4" w14:textId="77777777" w:rsidR="00757A69" w:rsidRDefault="00757A69">
      <w:pPr>
        <w:pStyle w:val="Telobesedila"/>
      </w:pPr>
    </w:p>
    <w:p w14:paraId="7CDEB0DB" w14:textId="77777777" w:rsidR="00757A69" w:rsidRDefault="00757A69">
      <w:pPr>
        <w:pStyle w:val="Telobesedila"/>
      </w:pPr>
    </w:p>
    <w:p w14:paraId="0633B540" w14:textId="77777777" w:rsidR="00757A69" w:rsidRDefault="00757A69">
      <w:pPr>
        <w:pStyle w:val="Telobesedila"/>
      </w:pPr>
    </w:p>
    <w:p w14:paraId="08BD1D1D" w14:textId="77777777" w:rsidR="00757A69" w:rsidRDefault="00757A69">
      <w:pPr>
        <w:pStyle w:val="Telobesedila"/>
      </w:pPr>
    </w:p>
    <w:p w14:paraId="5A12923D" w14:textId="77777777" w:rsidR="00757A69" w:rsidRDefault="00757A69">
      <w:pPr>
        <w:pStyle w:val="Telobesedila"/>
      </w:pPr>
    </w:p>
    <w:p w14:paraId="15810A8D" w14:textId="77777777" w:rsidR="00757A69" w:rsidRDefault="00757A69">
      <w:pPr>
        <w:pStyle w:val="Telobesedila"/>
      </w:pPr>
    </w:p>
    <w:p w14:paraId="127E7547" w14:textId="77777777" w:rsidR="00757A69" w:rsidRDefault="00757A69">
      <w:pPr>
        <w:pStyle w:val="Telobesedila"/>
      </w:pPr>
    </w:p>
    <w:p w14:paraId="1865E529" w14:textId="77777777" w:rsidR="00757A69" w:rsidRDefault="00757A69">
      <w:pPr>
        <w:pStyle w:val="Telobesedila"/>
      </w:pPr>
    </w:p>
    <w:p w14:paraId="18150A7F" w14:textId="77777777" w:rsidR="00757A69" w:rsidRDefault="00757A69">
      <w:pPr>
        <w:pStyle w:val="Telobesedila"/>
      </w:pPr>
    </w:p>
    <w:p w14:paraId="7A40713E" w14:textId="77777777" w:rsidR="00757A69" w:rsidRDefault="00757A69">
      <w:pPr>
        <w:pStyle w:val="Telobesedila"/>
      </w:pPr>
    </w:p>
    <w:p w14:paraId="15453FD4" w14:textId="77777777" w:rsidR="00757A69" w:rsidRDefault="00757A69">
      <w:pPr>
        <w:pStyle w:val="Telobesedila"/>
      </w:pPr>
    </w:p>
    <w:p w14:paraId="1CAE5580" w14:textId="77777777" w:rsidR="00757A69" w:rsidRDefault="00757A69">
      <w:pPr>
        <w:pStyle w:val="Telobesedila"/>
      </w:pPr>
    </w:p>
    <w:p w14:paraId="6712CCCA" w14:textId="77777777" w:rsidR="00757A69" w:rsidRDefault="00757A69">
      <w:pPr>
        <w:pStyle w:val="Telobesedila"/>
      </w:pPr>
    </w:p>
    <w:p w14:paraId="5747518D" w14:textId="77777777" w:rsidR="00757A69" w:rsidRDefault="00757A69">
      <w:pPr>
        <w:pStyle w:val="Telobesedila"/>
      </w:pPr>
    </w:p>
    <w:p w14:paraId="661064D6" w14:textId="77777777" w:rsidR="00757A69" w:rsidRDefault="00757A69">
      <w:pPr>
        <w:pStyle w:val="Telobesedila"/>
      </w:pPr>
    </w:p>
    <w:p w14:paraId="1DF9650C" w14:textId="77777777" w:rsidR="00757A69" w:rsidRDefault="00757A69">
      <w:pPr>
        <w:pStyle w:val="Telobesedila"/>
      </w:pPr>
    </w:p>
    <w:p w14:paraId="03A64824" w14:textId="77777777" w:rsidR="00757A69" w:rsidRDefault="00757A69">
      <w:pPr>
        <w:pStyle w:val="Telobesedila"/>
        <w:spacing w:before="5"/>
        <w:rPr>
          <w:sz w:val="27"/>
        </w:rPr>
      </w:pPr>
    </w:p>
    <w:p w14:paraId="1D2A4B32" w14:textId="77777777" w:rsidR="00757A69" w:rsidRDefault="00000000">
      <w:pPr>
        <w:pStyle w:val="Telobesedila"/>
        <w:spacing w:before="102" w:line="326" w:lineRule="auto"/>
        <w:ind w:left="327" w:right="970"/>
      </w:pPr>
      <w:r>
        <w:t xml:space="preserve">Ena od pomembnih določb uredbe </w:t>
      </w:r>
      <w:proofErr w:type="spellStart"/>
      <w:r>
        <w:t>FuelEU</w:t>
      </w:r>
      <w:proofErr w:type="spellEnd"/>
      <w:r>
        <w:t xml:space="preserve"> za pomorstvo je poseben spodbujevalni režim za goriva iz obnovljivih virov nebiološkega izvora, ki so priznana zaradi svojega velikega potenciala za razogljičenje. Ta sistem spodbud je ključnega pomena za spodbujanje pomorske industrije, da sprejme ta napredna goriva. Poleg tega uredba iz postopka certificiranja izključuje fosilna goriva, s čimer poudarja zavezanost EU prehodu s tradicionalnega vira energije z visokimi emisijami.</w:t>
      </w:r>
    </w:p>
    <w:p w14:paraId="7A9386E4" w14:textId="77777777" w:rsidR="00757A69" w:rsidRDefault="00757A69">
      <w:pPr>
        <w:pStyle w:val="Telobesedila"/>
        <w:spacing w:before="11"/>
        <w:rPr>
          <w:sz w:val="26"/>
        </w:rPr>
      </w:pPr>
    </w:p>
    <w:p w14:paraId="08AACED8" w14:textId="77777777" w:rsidR="00757A69" w:rsidRDefault="00000000">
      <w:pPr>
        <w:pStyle w:val="Telobesedila"/>
        <w:spacing w:line="326" w:lineRule="auto"/>
        <w:ind w:left="327" w:right="752"/>
      </w:pPr>
      <w:r>
        <w:t xml:space="preserve">Drug ključni vidik uredbe je uvedba </w:t>
      </w:r>
      <w:proofErr w:type="spellStart"/>
      <w:r>
        <w:t>brezemisijskih</w:t>
      </w:r>
      <w:proofErr w:type="spellEnd"/>
      <w:r>
        <w:t xml:space="preserve"> zahtev za zasidrane ladje. Do leta 2030 bodo morale potniške ladje in kontejnerske ladje med pristajanjem v večjih pristaniščih EU uporabljati oskrbo z električno energijo s kopnega ali alternativne </w:t>
      </w:r>
      <w:proofErr w:type="spellStart"/>
      <w:r>
        <w:t>brezemisijske</w:t>
      </w:r>
      <w:proofErr w:type="spellEnd"/>
      <w:r>
        <w:t xml:space="preserve"> tehnologije. Cilj tega ukrepa je znatno zmanjšati onesnaženost zraka na pristaniških območjih, ki so pogosto blizu gosto poseljenih mestnih središč. Zahteva glede ničelnih emisij se bo do leta 2035 razširila na vsa pristanišča EU, če bodo opremljena s potrebno infrastrukturo za oskrbo z električno energijo s kopnega.</w:t>
      </w:r>
    </w:p>
    <w:p w14:paraId="1BCDEB3E" w14:textId="77777777" w:rsidR="00757A69" w:rsidRDefault="00757A69">
      <w:pPr>
        <w:pStyle w:val="Telobesedila"/>
        <w:spacing w:before="11"/>
        <w:rPr>
          <w:sz w:val="26"/>
        </w:rPr>
      </w:pPr>
    </w:p>
    <w:p w14:paraId="45C67AE5" w14:textId="77777777" w:rsidR="00757A69" w:rsidRDefault="00000000">
      <w:pPr>
        <w:pStyle w:val="Telobesedila"/>
        <w:spacing w:before="1" w:line="326" w:lineRule="auto"/>
        <w:ind w:left="327" w:right="780"/>
      </w:pPr>
      <w:r>
        <w:t>Uredba uvaja tudi prostovoljni mehanizem združevanja, ki ladjam omogoča, da združijo svoja prizadevanja za skladnost. Ta sistem flotam omogoča, da skupaj dosegajo mejne vrednosti intenzivnosti toplogrednih plinov, kar zagotavlja prožnost in spodbuja sodelovalne pristope k doseganju regulativnih ciljev. Poleg tega obstajajo časovno omejene izjeme za regije, ki so še posebej odvisne od pomorske povezljivosti, kot so najbolj oddaljene regije in majhni otoki.</w:t>
      </w:r>
    </w:p>
    <w:p w14:paraId="6A658712" w14:textId="77777777" w:rsidR="00757A69" w:rsidRDefault="00757A69">
      <w:pPr>
        <w:pStyle w:val="Telobesedila"/>
        <w:spacing w:before="11"/>
        <w:rPr>
          <w:sz w:val="26"/>
        </w:rPr>
      </w:pPr>
    </w:p>
    <w:p w14:paraId="53FB9C3F" w14:textId="77777777" w:rsidR="00757A69" w:rsidRDefault="00000000">
      <w:pPr>
        <w:pStyle w:val="Telobesedila"/>
        <w:spacing w:line="326" w:lineRule="auto"/>
        <w:ind w:left="327" w:right="752"/>
      </w:pPr>
      <w:r>
        <w:t>Časovni okvir izvajanja je strukturiran tako, da zagotavlja jasen okvir za industrijo. Nova pravila bodo začela veljati 1. januarja 2025, posebne določbe v zvezi z načrti za spremljanje pa se bodo začele uporabljati 31. avgusta 2024.</w:t>
      </w:r>
    </w:p>
    <w:p w14:paraId="76A60D80" w14:textId="77777777" w:rsidR="00757A69" w:rsidRDefault="00757A69">
      <w:pPr>
        <w:pStyle w:val="Telobesedila"/>
        <w:rPr>
          <w:sz w:val="26"/>
        </w:rPr>
      </w:pPr>
    </w:p>
    <w:p w14:paraId="5B60E7ED" w14:textId="77777777" w:rsidR="00757A69" w:rsidRDefault="00757A69">
      <w:pPr>
        <w:pStyle w:val="Telobesedila"/>
        <w:spacing w:before="2"/>
        <w:rPr>
          <w:sz w:val="28"/>
        </w:rPr>
      </w:pPr>
    </w:p>
    <w:p w14:paraId="2FAE55D3" w14:textId="77777777" w:rsidR="00757A69" w:rsidRDefault="00000000">
      <w:pPr>
        <w:pStyle w:val="Telobesedila"/>
        <w:ind w:left="327"/>
      </w:pPr>
      <w:r>
        <w:t xml:space="preserve">Podrobnejše informacije so na voljo na uradni strani Evropske komisije o pobudi </w:t>
      </w:r>
      <w:proofErr w:type="spellStart"/>
      <w:r>
        <w:t>FuelEU</w:t>
      </w:r>
      <w:proofErr w:type="spellEnd"/>
      <w:r>
        <w:t>.</w:t>
      </w:r>
    </w:p>
    <w:p w14:paraId="4E1F5A9D" w14:textId="77777777" w:rsidR="00757A69" w:rsidRDefault="00000000">
      <w:pPr>
        <w:pStyle w:val="P68B1DB1-Normal7"/>
        <w:spacing w:before="87"/>
        <w:ind w:left="327"/>
      </w:pPr>
      <w:hyperlink r:id="rId9">
        <w:proofErr w:type="spellStart"/>
        <w:r>
          <w:rPr>
            <w:u w:val="single"/>
          </w:rPr>
          <w:t>Decarbonising</w:t>
        </w:r>
        <w:proofErr w:type="spellEnd"/>
        <w:r>
          <w:rPr>
            <w:u w:val="single"/>
          </w:rPr>
          <w:t xml:space="preserve"> </w:t>
        </w:r>
        <w:proofErr w:type="spellStart"/>
        <w:r>
          <w:rPr>
            <w:u w:val="single"/>
          </w:rPr>
          <w:t>maritime</w:t>
        </w:r>
        <w:proofErr w:type="spellEnd"/>
        <w:r>
          <w:rPr>
            <w:u w:val="single"/>
          </w:rPr>
          <w:t xml:space="preserve"> transport – </w:t>
        </w:r>
        <w:proofErr w:type="spellStart"/>
        <w:r>
          <w:rPr>
            <w:u w:val="single"/>
          </w:rPr>
          <w:t>FuelEU</w:t>
        </w:r>
        <w:proofErr w:type="spellEnd"/>
        <w:r>
          <w:rPr>
            <w:u w:val="single"/>
          </w:rPr>
          <w:t xml:space="preserve"> </w:t>
        </w:r>
        <w:proofErr w:type="spellStart"/>
        <w:r>
          <w:rPr>
            <w:u w:val="single"/>
          </w:rPr>
          <w:t>Maritime</w:t>
        </w:r>
        <w:proofErr w:type="spellEnd"/>
        <w:r>
          <w:rPr>
            <w:u w:val="single"/>
          </w:rPr>
          <w:t xml:space="preserve"> – Evropska komisija (europa.eu).</w:t>
        </w:r>
      </w:hyperlink>
    </w:p>
    <w:p w14:paraId="23E42682" w14:textId="77777777" w:rsidR="00757A69" w:rsidRDefault="00757A69">
      <w:pPr>
        <w:rPr>
          <w:sz w:val="20"/>
        </w:rPr>
        <w:sectPr w:rsidR="00757A69">
          <w:pgSz w:w="11910" w:h="16850"/>
          <w:pgMar w:top="0" w:right="120" w:bottom="340" w:left="360" w:header="0" w:footer="145" w:gutter="0"/>
          <w:cols w:space="708"/>
        </w:sectPr>
      </w:pPr>
    </w:p>
    <w:p w14:paraId="02A60B2B" w14:textId="77777777" w:rsidR="00757A69" w:rsidRDefault="00000000">
      <w:pPr>
        <w:pStyle w:val="Telobesedila"/>
        <w:rPr>
          <w:i/>
        </w:rPr>
      </w:pPr>
      <w:r>
        <w:rPr>
          <w:noProof/>
        </w:rPr>
        <w:drawing>
          <wp:anchor distT="0" distB="0" distL="0" distR="0" simplePos="0" relativeHeight="487428096" behindDoc="1" locked="0" layoutInCell="1" allowOverlap="1" wp14:anchorId="24265786" wp14:editId="6DF87656">
            <wp:simplePos x="0" y="0"/>
            <wp:positionH relativeFrom="page">
              <wp:posOffset>0</wp:posOffset>
            </wp:positionH>
            <wp:positionV relativeFrom="page">
              <wp:posOffset>0</wp:posOffset>
            </wp:positionV>
            <wp:extent cx="7562849" cy="406717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7562849" cy="4067174"/>
                    </a:xfrm>
                    <a:prstGeom prst="rect">
                      <a:avLst/>
                    </a:prstGeom>
                  </pic:spPr>
                </pic:pic>
              </a:graphicData>
            </a:graphic>
          </wp:anchor>
        </w:drawing>
      </w:r>
    </w:p>
    <w:p w14:paraId="37071E1A" w14:textId="77777777" w:rsidR="00757A69" w:rsidRDefault="00757A69">
      <w:pPr>
        <w:pStyle w:val="Telobesedila"/>
        <w:rPr>
          <w:i/>
        </w:rPr>
      </w:pPr>
    </w:p>
    <w:p w14:paraId="271AAF1B" w14:textId="77777777" w:rsidR="00757A69" w:rsidRDefault="00757A69">
      <w:pPr>
        <w:pStyle w:val="Telobesedila"/>
        <w:rPr>
          <w:i/>
        </w:rPr>
      </w:pPr>
    </w:p>
    <w:p w14:paraId="45BC5941" w14:textId="77777777" w:rsidR="00757A69" w:rsidRDefault="00757A69">
      <w:pPr>
        <w:pStyle w:val="Telobesedila"/>
        <w:rPr>
          <w:i/>
        </w:rPr>
      </w:pPr>
    </w:p>
    <w:p w14:paraId="65B8E029" w14:textId="77777777" w:rsidR="00757A69" w:rsidRDefault="00757A69">
      <w:pPr>
        <w:pStyle w:val="Telobesedila"/>
        <w:rPr>
          <w:i/>
        </w:rPr>
      </w:pPr>
    </w:p>
    <w:p w14:paraId="007C8507" w14:textId="77777777" w:rsidR="00757A69" w:rsidRDefault="00757A69">
      <w:pPr>
        <w:pStyle w:val="Telobesedila"/>
        <w:rPr>
          <w:i/>
        </w:rPr>
      </w:pPr>
    </w:p>
    <w:p w14:paraId="440801E2" w14:textId="77777777" w:rsidR="00757A69" w:rsidRDefault="00757A69">
      <w:pPr>
        <w:pStyle w:val="Telobesedila"/>
        <w:rPr>
          <w:i/>
        </w:rPr>
      </w:pPr>
    </w:p>
    <w:p w14:paraId="023D189E" w14:textId="77777777" w:rsidR="00757A69" w:rsidRDefault="00757A69">
      <w:pPr>
        <w:pStyle w:val="Telobesedila"/>
        <w:rPr>
          <w:i/>
        </w:rPr>
      </w:pPr>
    </w:p>
    <w:p w14:paraId="7CE61859" w14:textId="77777777" w:rsidR="00757A69" w:rsidRDefault="00757A69">
      <w:pPr>
        <w:pStyle w:val="Telobesedila"/>
        <w:rPr>
          <w:i/>
        </w:rPr>
      </w:pPr>
    </w:p>
    <w:p w14:paraId="2240FBF5" w14:textId="77777777" w:rsidR="00757A69" w:rsidRDefault="00757A69">
      <w:pPr>
        <w:pStyle w:val="Telobesedila"/>
        <w:rPr>
          <w:i/>
        </w:rPr>
      </w:pPr>
    </w:p>
    <w:p w14:paraId="320EA685" w14:textId="77777777" w:rsidR="00757A69" w:rsidRDefault="00757A69">
      <w:pPr>
        <w:pStyle w:val="Telobesedila"/>
        <w:rPr>
          <w:i/>
        </w:rPr>
      </w:pPr>
    </w:p>
    <w:p w14:paraId="7716FEDA" w14:textId="77777777" w:rsidR="00757A69" w:rsidRDefault="00757A69">
      <w:pPr>
        <w:pStyle w:val="Telobesedila"/>
        <w:rPr>
          <w:i/>
        </w:rPr>
      </w:pPr>
    </w:p>
    <w:p w14:paraId="483BD66C" w14:textId="77777777" w:rsidR="00757A69" w:rsidRDefault="00757A69">
      <w:pPr>
        <w:pStyle w:val="Telobesedila"/>
        <w:rPr>
          <w:i/>
        </w:rPr>
      </w:pPr>
    </w:p>
    <w:p w14:paraId="3A9DD65C" w14:textId="77777777" w:rsidR="00757A69" w:rsidRDefault="00757A69">
      <w:pPr>
        <w:pStyle w:val="Telobesedila"/>
        <w:rPr>
          <w:i/>
        </w:rPr>
      </w:pPr>
    </w:p>
    <w:p w14:paraId="54355B31" w14:textId="77777777" w:rsidR="00757A69" w:rsidRDefault="00757A69">
      <w:pPr>
        <w:pStyle w:val="Telobesedila"/>
        <w:rPr>
          <w:i/>
        </w:rPr>
      </w:pPr>
    </w:p>
    <w:p w14:paraId="1DF8437D" w14:textId="77777777" w:rsidR="00757A69" w:rsidRDefault="00757A69">
      <w:pPr>
        <w:pStyle w:val="Telobesedila"/>
        <w:rPr>
          <w:i/>
        </w:rPr>
      </w:pPr>
    </w:p>
    <w:p w14:paraId="5841E056" w14:textId="77777777" w:rsidR="00757A69" w:rsidRDefault="00757A69">
      <w:pPr>
        <w:pStyle w:val="Telobesedila"/>
        <w:rPr>
          <w:i/>
        </w:rPr>
      </w:pPr>
    </w:p>
    <w:p w14:paraId="7248197B" w14:textId="77777777" w:rsidR="00757A69" w:rsidRDefault="00757A69">
      <w:pPr>
        <w:pStyle w:val="Telobesedila"/>
        <w:rPr>
          <w:i/>
        </w:rPr>
      </w:pPr>
    </w:p>
    <w:p w14:paraId="53068682" w14:textId="77777777" w:rsidR="00757A69" w:rsidRDefault="00757A69">
      <w:pPr>
        <w:pStyle w:val="Telobesedila"/>
        <w:rPr>
          <w:i/>
        </w:rPr>
      </w:pPr>
    </w:p>
    <w:p w14:paraId="3C6308C3" w14:textId="77777777" w:rsidR="00757A69" w:rsidRDefault="00757A69">
      <w:pPr>
        <w:pStyle w:val="Telobesedila"/>
        <w:rPr>
          <w:i/>
        </w:rPr>
      </w:pPr>
    </w:p>
    <w:p w14:paraId="3E53EB05" w14:textId="77777777" w:rsidR="00757A69" w:rsidRDefault="00757A69">
      <w:pPr>
        <w:pStyle w:val="Telobesedila"/>
        <w:rPr>
          <w:i/>
        </w:rPr>
      </w:pPr>
    </w:p>
    <w:p w14:paraId="346BF1EA" w14:textId="77777777" w:rsidR="00757A69" w:rsidRDefault="00757A69">
      <w:pPr>
        <w:pStyle w:val="Telobesedila"/>
        <w:rPr>
          <w:i/>
        </w:rPr>
      </w:pPr>
    </w:p>
    <w:p w14:paraId="2C2C6258" w14:textId="77777777" w:rsidR="00757A69" w:rsidRDefault="00757A69">
      <w:pPr>
        <w:pStyle w:val="Telobesedila"/>
        <w:rPr>
          <w:i/>
        </w:rPr>
      </w:pPr>
    </w:p>
    <w:p w14:paraId="3DC5969F" w14:textId="77777777" w:rsidR="00757A69" w:rsidRDefault="00757A69">
      <w:pPr>
        <w:pStyle w:val="Telobesedila"/>
        <w:rPr>
          <w:i/>
        </w:rPr>
      </w:pPr>
    </w:p>
    <w:p w14:paraId="603024A1" w14:textId="77777777" w:rsidR="00757A69" w:rsidRDefault="00757A69">
      <w:pPr>
        <w:pStyle w:val="Telobesedila"/>
        <w:rPr>
          <w:i/>
        </w:rPr>
      </w:pPr>
    </w:p>
    <w:p w14:paraId="31FA30A5" w14:textId="77777777" w:rsidR="00757A69" w:rsidRDefault="00757A69">
      <w:pPr>
        <w:pStyle w:val="Telobesedila"/>
        <w:rPr>
          <w:i/>
        </w:rPr>
      </w:pPr>
    </w:p>
    <w:p w14:paraId="4E6342C0" w14:textId="77777777" w:rsidR="00757A69" w:rsidRDefault="00757A69">
      <w:pPr>
        <w:pStyle w:val="Telobesedila"/>
        <w:spacing w:before="7"/>
        <w:rPr>
          <w:i/>
          <w:sz w:val="23"/>
        </w:rPr>
      </w:pPr>
    </w:p>
    <w:p w14:paraId="5104A01B" w14:textId="710367E7" w:rsidR="00757A69" w:rsidRDefault="00000000">
      <w:pPr>
        <w:pStyle w:val="P68B1DB1-Heading18"/>
        <w:spacing w:before="199" w:line="228" w:lineRule="auto"/>
        <w:ind w:right="4213"/>
        <w:jc w:val="both"/>
      </w:pPr>
      <w:r>
        <w:t>PREDNOSTNA PODROČJA</w:t>
      </w:r>
      <w:r w:rsidR="00EF129F">
        <w:t xml:space="preserve"> </w:t>
      </w:r>
      <w:r>
        <w:t>ZA EVROPSKO KOMISIJO</w:t>
      </w:r>
      <w:r w:rsidR="00EF129F">
        <w:t xml:space="preserve"> </w:t>
      </w:r>
      <w:r>
        <w:t>2024–2029</w:t>
      </w:r>
    </w:p>
    <w:p w14:paraId="397F1C47" w14:textId="77777777" w:rsidR="00757A69" w:rsidRDefault="00000000">
      <w:pPr>
        <w:pStyle w:val="Telobesedila"/>
        <w:spacing w:before="563" w:line="326" w:lineRule="auto"/>
        <w:ind w:left="243" w:right="970"/>
      </w:pPr>
      <w:r>
        <w:t xml:space="preserve">Ursula von der </w:t>
      </w:r>
      <w:proofErr w:type="spellStart"/>
      <w:r>
        <w:t>Leyen</w:t>
      </w:r>
      <w:proofErr w:type="spellEnd"/>
      <w:r>
        <w:t xml:space="preserve"> je predstavila politične usmeritve naslednje Evropske komisije, v katerih so opisane prednostne naloge Evropske unije za obdobje 2024–2029. Ta celovit dokument določa temelje za pomembne usmeritve politike za reševanje perečih izzivov ter spodbujanje rasti in stabilnosti v EU.</w:t>
      </w:r>
    </w:p>
    <w:p w14:paraId="5C6C9BEB" w14:textId="77777777" w:rsidR="00757A69" w:rsidRDefault="00757A69">
      <w:pPr>
        <w:pStyle w:val="Telobesedila"/>
        <w:rPr>
          <w:sz w:val="27"/>
        </w:rPr>
      </w:pPr>
    </w:p>
    <w:p w14:paraId="4DA67531" w14:textId="77777777" w:rsidR="00757A69" w:rsidRDefault="00000000">
      <w:pPr>
        <w:pStyle w:val="Telobesedila"/>
        <w:spacing w:line="326" w:lineRule="auto"/>
        <w:ind w:left="243" w:right="752"/>
      </w:pPr>
      <w:r>
        <w:t xml:space="preserve">Von der </w:t>
      </w:r>
      <w:proofErr w:type="spellStart"/>
      <w:r>
        <w:t>Leyen</w:t>
      </w:r>
      <w:proofErr w:type="spellEnd"/>
      <w:r>
        <w:t xml:space="preserve"> poudarja potrebo po odporni in suvereni Evropi, ki bo kos svetovnim negotovostim in notranjim izzivom. V smernicah je poudarjen pomen zmanjšanja odvisnosti od držav, ki niso članice EU, zlasti na kritičnih področjih, kot so energija, tehnologija in farmacevtski izdelki. EU želi s krepitvijo strateške avtonomije zagotoviti, da bo lahko učinkovito obvladovala krize in neodvisno varovala svoje interese.</w:t>
      </w:r>
    </w:p>
    <w:p w14:paraId="05EAA515" w14:textId="77777777" w:rsidR="00757A69" w:rsidRDefault="00757A69">
      <w:pPr>
        <w:pStyle w:val="Telobesedila"/>
        <w:spacing w:before="11"/>
        <w:rPr>
          <w:sz w:val="26"/>
        </w:rPr>
      </w:pPr>
    </w:p>
    <w:p w14:paraId="15CBC6A9" w14:textId="77777777" w:rsidR="00757A69" w:rsidRDefault="00000000">
      <w:pPr>
        <w:pStyle w:val="Telobesedila"/>
        <w:spacing w:before="1" w:line="326" w:lineRule="auto"/>
        <w:ind w:left="243" w:right="752"/>
      </w:pPr>
      <w:r>
        <w:t>Ena od osrednjih tem smernic je dvojni poudarek na zelenem in digitalnem prehodu. Evropski zeleni dogovor ostaja temelj z okrepljeno zavezanostjo doseganju podnebne nevtralnosti do leta 2050. To vključuje večje naložbe v energijo iz obnovljivih virov, trajnostno infrastrukturo in prakse krožnega gospodarstva. Hkrati se digitalna preobrazba šteje za ključno z načrti za okrepitev digitalne infrastrukture, podporo digitalnim inovacijam in zagotavljanje kibernetske varnosti.</w:t>
      </w:r>
    </w:p>
    <w:p w14:paraId="4591056E" w14:textId="77777777" w:rsidR="00757A69" w:rsidRDefault="00757A69">
      <w:pPr>
        <w:pStyle w:val="Telobesedila"/>
        <w:spacing w:before="11"/>
        <w:rPr>
          <w:sz w:val="26"/>
        </w:rPr>
      </w:pPr>
    </w:p>
    <w:p w14:paraId="3997DCCD" w14:textId="2AB60A52" w:rsidR="00757A69" w:rsidRDefault="00000000" w:rsidP="00EF129F">
      <w:pPr>
        <w:pStyle w:val="Telobesedila"/>
        <w:spacing w:line="326" w:lineRule="auto"/>
        <w:ind w:left="243" w:right="970"/>
        <w:sectPr w:rsidR="00757A69">
          <w:pgSz w:w="11910" w:h="16850"/>
          <w:pgMar w:top="0" w:right="120" w:bottom="340" w:left="360" w:header="0" w:footer="145" w:gutter="0"/>
          <w:cols w:space="708"/>
        </w:sectPr>
      </w:pPr>
      <w:r>
        <w:t>V smernicah so predlagani ukrepi za spodbujanje inovacij, podporo malim in srednjim podjetjem (MSP) ter okrepitev enotnega trga za spodbujanje gospodarske rasti. Jasno je, da je njihov namen spodbujati konkurenčnejše in pravičnejše gospodarsko okolje, v katerem lahko podjetja uspevajo in prispevajo k splošni blaginji EU. V smernicah je poudarjena tudi potreba po fiskalni odgovornosti in gospodarskih reformah za zagotovitev trajnostne rasti.</w:t>
      </w:r>
    </w:p>
    <w:p w14:paraId="11FE78C5" w14:textId="3A3F0CE0" w:rsidR="00757A69" w:rsidRDefault="00000000" w:rsidP="00EF129F">
      <w:pPr>
        <w:pStyle w:val="Telobesedila"/>
        <w:spacing w:before="78" w:line="326" w:lineRule="auto"/>
        <w:ind w:right="752"/>
      </w:pPr>
      <w:r>
        <w:pict w14:anchorId="6FE0A618">
          <v:group id="_x0000_s2058" style="position:absolute;margin-left:0;margin-top:491.75pt;width:595.5pt;height:350.5pt;z-index:15730688;mso-position-horizontal-relative:page;mso-position-vertical-relative:page" coordorigin=",9835" coordsize="11910,7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top:9835;width:11910;height:6915">
              <v:imagedata r:id="rId11" o:title=""/>
            </v:shape>
            <v:rect id="_x0000_s2059" style="position:absolute;top:16500;width:11910;height:345" fillcolor="#153c61" stroked="f"/>
            <w10:wrap anchorx="page" anchory="page"/>
          </v:group>
        </w:pict>
      </w:r>
      <w:r w:rsidR="00EF129F">
        <w:t xml:space="preserve"> </w:t>
      </w:r>
      <w:r>
        <w:t xml:space="preserve">Smernice </w:t>
      </w:r>
      <w:proofErr w:type="spellStart"/>
      <w:r>
        <w:t>Ursule</w:t>
      </w:r>
      <w:proofErr w:type="spellEnd"/>
      <w:r>
        <w:t xml:space="preserve"> von der </w:t>
      </w:r>
      <w:proofErr w:type="spellStart"/>
      <w:r>
        <w:t>Leyen</w:t>
      </w:r>
      <w:proofErr w:type="spellEnd"/>
      <w:r>
        <w:t xml:space="preserve"> dajejo prednost socialni pravičnosti, da bi ustvarili bolj vključujočo </w:t>
      </w:r>
      <w:r w:rsidR="00EF129F">
        <w:t xml:space="preserve">  </w:t>
      </w:r>
      <w:r>
        <w:t xml:space="preserve">družbo. To vključuje krepitev mrež socialne varnosti, izboljšanje dostopa do kakovostnega zdravstvenega </w:t>
      </w:r>
      <w:r w:rsidR="00EF129F">
        <w:t xml:space="preserve"> </w:t>
      </w:r>
      <w:r>
        <w:t xml:space="preserve">varstva in izobraževanja ter zagotavljanje dostojnih delovnih pogojev. V dokumentu so opisane tudi </w:t>
      </w:r>
      <w:r w:rsidR="00EF129F">
        <w:t xml:space="preserve"> </w:t>
      </w:r>
      <w:r>
        <w:t xml:space="preserve">pobude za boj proti revščini in socialni izključenosti, pri čemer je poudarjeno, da bi morala gospodarska </w:t>
      </w:r>
      <w:r w:rsidR="00EF129F">
        <w:t xml:space="preserve"> </w:t>
      </w:r>
      <w:r>
        <w:t>rast koristiti vsem državljanom.</w:t>
      </w:r>
    </w:p>
    <w:p w14:paraId="6A6BDE4D" w14:textId="77777777" w:rsidR="00757A69" w:rsidRDefault="00757A69">
      <w:pPr>
        <w:pStyle w:val="Telobesedila"/>
        <w:spacing w:before="11"/>
        <w:rPr>
          <w:sz w:val="26"/>
        </w:rPr>
      </w:pPr>
    </w:p>
    <w:p w14:paraId="473C2DC7" w14:textId="77777777" w:rsidR="00757A69" w:rsidRDefault="00000000">
      <w:pPr>
        <w:pStyle w:val="Telobesedila"/>
        <w:spacing w:line="326" w:lineRule="auto"/>
        <w:ind w:left="251" w:right="595"/>
      </w:pPr>
      <w:r>
        <w:t>Ohranjanje in spodbujanje pravne države in demokratičnih vrednot sta poudarjena kot temeljni načeli. Smernice pozivajo k odločnim ukrepom za zaščito teh vrednot v EU in njenih zunanjih odnosih. To vključuje varstvo človekovih pravic, zagotavljanje neodvisnosti sodstva ter boj proti korupciji in dezinformacijam.</w:t>
      </w:r>
    </w:p>
    <w:p w14:paraId="6AB50428" w14:textId="77777777" w:rsidR="00757A69" w:rsidRDefault="00757A69">
      <w:pPr>
        <w:pStyle w:val="Telobesedila"/>
        <w:rPr>
          <w:sz w:val="27"/>
        </w:rPr>
      </w:pPr>
    </w:p>
    <w:p w14:paraId="3D6D5CB5" w14:textId="77777777" w:rsidR="00757A69" w:rsidRDefault="00000000">
      <w:pPr>
        <w:pStyle w:val="Telobesedila"/>
        <w:spacing w:line="326" w:lineRule="auto"/>
        <w:ind w:left="251" w:right="595"/>
      </w:pPr>
      <w:r>
        <w:t>Na mednarodni ravni si EU prizadeva za odločnejšo vlogo v svetovnih zadevah. Smernice se zavzemajo za krepitev partnerstev s podobno mislečimi državami in organizacijami za reševanje svetovnih izzivov, kot so podnebne spremembe, varnostne grožnje in zdravstvene krize. Poudarek je tudi na podpori državam v razvoju s politikami trajnostnega razvoja in humanitarno pomočjo.</w:t>
      </w:r>
    </w:p>
    <w:p w14:paraId="278A4DFE" w14:textId="77777777" w:rsidR="00757A69" w:rsidRDefault="00757A69">
      <w:pPr>
        <w:pStyle w:val="Telobesedila"/>
        <w:spacing w:before="11"/>
        <w:rPr>
          <w:sz w:val="26"/>
        </w:rPr>
      </w:pPr>
    </w:p>
    <w:p w14:paraId="7FDED2A0" w14:textId="77777777" w:rsidR="00757A69" w:rsidRDefault="00000000">
      <w:pPr>
        <w:pStyle w:val="Telobesedila"/>
        <w:spacing w:before="1" w:line="326" w:lineRule="auto"/>
        <w:ind w:left="251" w:right="970"/>
      </w:pPr>
      <w:r>
        <w:t>Vlaganje v raziskave in inovacije je poudarjeno kot ključno za ohranjanje konkurenčne prednosti EU. V smernicah je predlagano povečanje financiranja raziskovalnih projektov, zlasti tistih, ki so usklajeni s strateškimi prednostnimi nalogami, kot so zdravje, digitalne tehnologije in zelene inovacije.</w:t>
      </w:r>
    </w:p>
    <w:p w14:paraId="22433DA9" w14:textId="77777777" w:rsidR="00757A69" w:rsidRDefault="00757A69">
      <w:pPr>
        <w:pStyle w:val="Telobesedila"/>
        <w:rPr>
          <w:sz w:val="27"/>
        </w:rPr>
      </w:pPr>
    </w:p>
    <w:p w14:paraId="08A147DA" w14:textId="77777777" w:rsidR="00757A69" w:rsidRDefault="00000000">
      <w:pPr>
        <w:pStyle w:val="Telobesedila"/>
        <w:spacing w:line="326" w:lineRule="auto"/>
        <w:ind w:left="251" w:right="970"/>
      </w:pPr>
      <w:r>
        <w:t xml:space="preserve">V političnih usmeritvah </w:t>
      </w:r>
      <w:proofErr w:type="spellStart"/>
      <w:r>
        <w:t>Ursule</w:t>
      </w:r>
      <w:proofErr w:type="spellEnd"/>
      <w:r>
        <w:t xml:space="preserve"> von der </w:t>
      </w:r>
      <w:proofErr w:type="spellStart"/>
      <w:r>
        <w:t>Leyen</w:t>
      </w:r>
      <w:proofErr w:type="spellEnd"/>
      <w:r>
        <w:t xml:space="preserve"> za obdobje 2024–2029 je predstavljena vizija za močnejšo, odpornejšo in vključujočo Evropsko unijo. Smernice z obravnavanjem ključnih področij, kot so strateška avtonomija, zeleni in digitalni prehod, gospodarska konkurenčnost, socialna pravičnost in vodilna vloga v svetu, določajo celovito agendo za obvladovanje kompleksnih izzivov prihodnjih let ter zagotavljanje trajnostne rasti in stabilnosti za EU.</w:t>
      </w:r>
    </w:p>
    <w:p w14:paraId="2E4E264D" w14:textId="77777777" w:rsidR="00757A69" w:rsidRDefault="00757A69">
      <w:pPr>
        <w:pStyle w:val="Telobesedila"/>
        <w:spacing w:before="6"/>
        <w:rPr>
          <w:sz w:val="18"/>
        </w:rPr>
      </w:pPr>
    </w:p>
    <w:p w14:paraId="072022FB" w14:textId="77777777" w:rsidR="00757A69" w:rsidRDefault="00000000">
      <w:pPr>
        <w:spacing w:before="103"/>
        <w:ind w:left="251"/>
        <w:rPr>
          <w:i/>
          <w:sz w:val="20"/>
        </w:rPr>
      </w:pPr>
      <w:r>
        <w:pict w14:anchorId="1850D371">
          <v:rect id="_x0000_s2057" style="position:absolute;left:0;text-align:left;margin-left:184.15pt;margin-top:15.95pt;width:176.6pt;height:.75pt;z-index:15731200;mso-position-horizontal-relative:page" fillcolor="black" stroked="f">
            <w10:wrap anchorx="page"/>
          </v:rect>
        </w:pict>
      </w:r>
      <w:hyperlink r:id="rId12">
        <w:r>
          <w:rPr>
            <w:i/>
            <w:sz w:val="20"/>
            <w:u w:val="single"/>
          </w:rPr>
          <w:t xml:space="preserve">Novoizvoljena predsednica Ursula von der </w:t>
        </w:r>
        <w:proofErr w:type="spellStart"/>
        <w:r>
          <w:rPr>
            <w:i/>
            <w:sz w:val="20"/>
            <w:u w:val="single"/>
          </w:rPr>
          <w:t>Le</w:t>
        </w:r>
        <w:r>
          <w:rPr>
            <w:i/>
            <w:sz w:val="20"/>
          </w:rPr>
          <w:t>Yen</w:t>
        </w:r>
        <w:proofErr w:type="spellEnd"/>
        <w:r>
          <w:rPr>
            <w:i/>
            <w:sz w:val="20"/>
          </w:rPr>
          <w:t xml:space="preserve"> – Evropska komisija (europa.eu)</w:t>
        </w:r>
      </w:hyperlink>
    </w:p>
    <w:p w14:paraId="76EAA3D6" w14:textId="77777777" w:rsidR="00757A69" w:rsidRDefault="00757A69">
      <w:pPr>
        <w:rPr>
          <w:sz w:val="20"/>
        </w:rPr>
        <w:sectPr w:rsidR="00757A69">
          <w:footerReference w:type="default" r:id="rId13"/>
          <w:pgSz w:w="11910" w:h="16850"/>
          <w:pgMar w:top="1100" w:right="120" w:bottom="0" w:left="360" w:header="0" w:footer="0" w:gutter="0"/>
          <w:cols w:space="708"/>
        </w:sectPr>
      </w:pPr>
    </w:p>
    <w:p w14:paraId="229C52D6" w14:textId="77777777" w:rsidR="00757A69" w:rsidRDefault="00000000">
      <w:pPr>
        <w:pStyle w:val="P68B1DB1-Heading18"/>
        <w:ind w:left="342"/>
      </w:pPr>
      <w:r>
        <w:t>Najnovejše novice</w:t>
      </w:r>
    </w:p>
    <w:p w14:paraId="6222AC97" w14:textId="77777777" w:rsidR="00757A69" w:rsidRDefault="00757A69">
      <w:pPr>
        <w:pStyle w:val="Telobesedila"/>
        <w:rPr>
          <w:rFonts w:ascii="Trebuchet MS"/>
          <w:b/>
        </w:rPr>
      </w:pPr>
    </w:p>
    <w:p w14:paraId="6743F651" w14:textId="77777777" w:rsidR="00757A69" w:rsidRDefault="00757A69">
      <w:pPr>
        <w:pStyle w:val="Telobesedila"/>
        <w:rPr>
          <w:rFonts w:ascii="Trebuchet MS"/>
          <w:b/>
        </w:rPr>
      </w:pPr>
    </w:p>
    <w:p w14:paraId="354D7CFC" w14:textId="77777777" w:rsidR="00757A69" w:rsidRDefault="00757A69">
      <w:pPr>
        <w:pStyle w:val="Telobesedila"/>
        <w:rPr>
          <w:rFonts w:ascii="Trebuchet MS"/>
          <w:b/>
        </w:rPr>
      </w:pPr>
    </w:p>
    <w:p w14:paraId="78C0972D" w14:textId="77777777" w:rsidR="00757A69" w:rsidRDefault="00757A69">
      <w:pPr>
        <w:pStyle w:val="Telobesedila"/>
        <w:rPr>
          <w:rFonts w:ascii="Trebuchet MS"/>
          <w:b/>
        </w:rPr>
      </w:pPr>
    </w:p>
    <w:p w14:paraId="0F748C11" w14:textId="77777777" w:rsidR="00757A69" w:rsidRDefault="00757A69">
      <w:pPr>
        <w:rPr>
          <w:rFonts w:ascii="Trebuchet MS"/>
        </w:rPr>
        <w:sectPr w:rsidR="00757A69">
          <w:footerReference w:type="default" r:id="rId14"/>
          <w:pgSz w:w="11910" w:h="16850"/>
          <w:pgMar w:top="780" w:right="120" w:bottom="340" w:left="360" w:header="0" w:footer="145" w:gutter="0"/>
          <w:cols w:space="708"/>
        </w:sectPr>
      </w:pPr>
    </w:p>
    <w:p w14:paraId="052E1F41" w14:textId="77777777" w:rsidR="00757A69" w:rsidRDefault="00757A69">
      <w:pPr>
        <w:pStyle w:val="Telobesedila"/>
        <w:spacing w:before="1"/>
        <w:rPr>
          <w:rFonts w:ascii="Trebuchet MS"/>
          <w:b/>
          <w:sz w:val="22"/>
        </w:rPr>
      </w:pPr>
    </w:p>
    <w:p w14:paraId="5571A122" w14:textId="77777777" w:rsidR="00757A69" w:rsidRDefault="00000000">
      <w:pPr>
        <w:pStyle w:val="Telobesedila"/>
        <w:spacing w:line="280" w:lineRule="auto"/>
        <w:ind w:left="342" w:right="192"/>
      </w:pPr>
      <w:r>
        <w:rPr>
          <w:noProof/>
        </w:rPr>
        <w:drawing>
          <wp:anchor distT="0" distB="0" distL="0" distR="0" simplePos="0" relativeHeight="15731712" behindDoc="0" locked="0" layoutInCell="1" allowOverlap="1" wp14:anchorId="6FCC5F1A" wp14:editId="0E696C79">
            <wp:simplePos x="0" y="0"/>
            <wp:positionH relativeFrom="page">
              <wp:posOffset>301126</wp:posOffset>
            </wp:positionH>
            <wp:positionV relativeFrom="paragraph">
              <wp:posOffset>39264</wp:posOffset>
            </wp:positionV>
            <wp:extent cx="114232" cy="95249"/>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5" cstate="print"/>
                    <a:stretch>
                      <a:fillRect/>
                    </a:stretch>
                  </pic:blipFill>
                  <pic:spPr>
                    <a:xfrm>
                      <a:off x="0" y="0"/>
                      <a:ext cx="114232" cy="95249"/>
                    </a:xfrm>
                    <a:prstGeom prst="rect">
                      <a:avLst/>
                    </a:prstGeom>
                  </pic:spPr>
                </pic:pic>
              </a:graphicData>
            </a:graphic>
          </wp:anchor>
        </w:drawing>
      </w:r>
      <w:r>
        <w:rPr>
          <w:color w:val="212121"/>
        </w:rPr>
        <w:t xml:space="preserve">Zadnji dogodek </w:t>
      </w:r>
      <w:hyperlink r:id="rId16">
        <w:r>
          <w:rPr>
            <w:color w:val="212121"/>
            <w:u w:val="single" w:color="212121"/>
          </w:rPr>
          <w:t>Evropske koalicije za vajeništva –</w:t>
        </w:r>
      </w:hyperlink>
      <w:r>
        <w:rPr>
          <w:color w:val="212121"/>
        </w:rPr>
        <w:t xml:space="preserve"> </w:t>
      </w:r>
      <w:hyperlink r:id="rId17">
        <w:r>
          <w:rPr>
            <w:color w:val="212121"/>
            <w:u w:val="single" w:color="212121"/>
          </w:rPr>
          <w:t xml:space="preserve">Zaposlovanje, socialne zadeve in </w:t>
        </w:r>
        <w:proofErr w:type="spellStart"/>
        <w:r>
          <w:rPr>
            <w:color w:val="212121"/>
            <w:u w:val="single" w:color="212121"/>
          </w:rPr>
          <w:t>amp</w:t>
        </w:r>
        <w:proofErr w:type="spellEnd"/>
        <w:r>
          <w:rPr>
            <w:color w:val="212121"/>
            <w:u w:val="single" w:color="212121"/>
          </w:rPr>
          <w:t>; Vključevanje – Evropska</w:t>
        </w:r>
      </w:hyperlink>
      <w:r>
        <w:rPr>
          <w:color w:val="212121"/>
        </w:rPr>
        <w:t xml:space="preserve"> </w:t>
      </w:r>
      <w:hyperlink r:id="rId18">
        <w:r>
          <w:rPr>
            <w:color w:val="212121"/>
            <w:u w:val="single" w:color="212121"/>
          </w:rPr>
          <w:t>komisija (europa.eu)</w:t>
        </w:r>
      </w:hyperlink>
      <w:r>
        <w:rPr>
          <w:color w:val="212121"/>
        </w:rPr>
        <w:t>je pokazal moč vajeništev pri odpravljanju pomanjkanja delovne sile. „Vajeništva so odlična strateška rešitev za premostitev vrzeli v znanjih in spretnostih ter zagotovitev trajnostne delovne sile za prihodnost.“ Ker je na današnjem trgu dela vse več povpraševanja po tehničnem strokovnem znanju in spretnostih, so vajeništva pametna možnost.“ Nicolas Schmit, komisar za delovna mesta in socialne pravice.</w:t>
      </w:r>
    </w:p>
    <w:p w14:paraId="033F68C0" w14:textId="77777777" w:rsidR="00757A69" w:rsidRDefault="00757A69">
      <w:pPr>
        <w:pStyle w:val="Telobesedila"/>
        <w:rPr>
          <w:sz w:val="24"/>
        </w:rPr>
      </w:pPr>
    </w:p>
    <w:p w14:paraId="32A24799" w14:textId="77777777" w:rsidR="00757A69" w:rsidRDefault="00000000">
      <w:pPr>
        <w:pStyle w:val="Telobesedila"/>
        <w:spacing w:line="280" w:lineRule="auto"/>
        <w:ind w:left="342" w:right="192"/>
      </w:pPr>
      <w:r>
        <w:rPr>
          <w:rFonts w:ascii="Tahoma"/>
          <w:b/>
          <w:color w:val="153C61"/>
        </w:rPr>
        <w:t>Preberite ve</w:t>
      </w:r>
      <w:r>
        <w:rPr>
          <w:rFonts w:ascii="Tahoma"/>
          <w:b/>
          <w:color w:val="153C61"/>
        </w:rPr>
        <w:t>č</w:t>
      </w:r>
      <w:r>
        <w:rPr>
          <w:rFonts w:ascii="Tahoma"/>
          <w:b/>
          <w:color w:val="153C61"/>
        </w:rPr>
        <w:t xml:space="preserve"> </w:t>
      </w:r>
      <w:hyperlink r:id="rId19">
        <w:r>
          <w:rPr>
            <w:u w:val="single"/>
          </w:rPr>
          <w:t xml:space="preserve">Vajeništvo: a </w:t>
        </w:r>
        <w:proofErr w:type="spellStart"/>
        <w:r>
          <w:rPr>
            <w:u w:val="single"/>
          </w:rPr>
          <w:t>key</w:t>
        </w:r>
        <w:proofErr w:type="spellEnd"/>
        <w:r>
          <w:rPr>
            <w:u w:val="single"/>
          </w:rPr>
          <w:t xml:space="preserve"> </w:t>
        </w:r>
        <w:proofErr w:type="spellStart"/>
        <w:r>
          <w:rPr>
            <w:u w:val="single"/>
          </w:rPr>
          <w:t>solution</w:t>
        </w:r>
        <w:proofErr w:type="spellEnd"/>
        <w:r>
          <w:rPr>
            <w:u w:val="single"/>
          </w:rPr>
          <w:t xml:space="preserve"> to </w:t>
        </w:r>
        <w:proofErr w:type="spellStart"/>
        <w:r>
          <w:rPr>
            <w:u w:val="single"/>
          </w:rPr>
          <w:t>tackle</w:t>
        </w:r>
        <w:proofErr w:type="spellEnd"/>
      </w:hyperlink>
      <w:r>
        <w:t xml:space="preserve"> </w:t>
      </w:r>
      <w:hyperlink r:id="rId20">
        <w:proofErr w:type="spellStart"/>
        <w:r>
          <w:rPr>
            <w:u w:val="single"/>
          </w:rPr>
          <w:t>labour</w:t>
        </w:r>
        <w:proofErr w:type="spellEnd"/>
        <w:r>
          <w:rPr>
            <w:u w:val="single"/>
          </w:rPr>
          <w:t xml:space="preserve"> </w:t>
        </w:r>
        <w:proofErr w:type="spellStart"/>
        <w:r>
          <w:rPr>
            <w:u w:val="single"/>
          </w:rPr>
          <w:t>and</w:t>
        </w:r>
        <w:proofErr w:type="spellEnd"/>
        <w:r>
          <w:rPr>
            <w:u w:val="single"/>
          </w:rPr>
          <w:t xml:space="preserve"> </w:t>
        </w:r>
        <w:proofErr w:type="spellStart"/>
        <w:r>
          <w:rPr>
            <w:u w:val="single"/>
          </w:rPr>
          <w:t>skills</w:t>
        </w:r>
        <w:proofErr w:type="spellEnd"/>
        <w:r>
          <w:rPr>
            <w:u w:val="single"/>
          </w:rPr>
          <w:t xml:space="preserve"> </w:t>
        </w:r>
        <w:proofErr w:type="spellStart"/>
        <w:r>
          <w:rPr>
            <w:u w:val="single"/>
          </w:rPr>
          <w:t>shortages</w:t>
        </w:r>
        <w:proofErr w:type="spellEnd"/>
        <w:r>
          <w:rPr>
            <w:u w:val="single"/>
          </w:rPr>
          <w:t xml:space="preserve"> – </w:t>
        </w:r>
        <w:proofErr w:type="spellStart"/>
        <w:r>
          <w:rPr>
            <w:u w:val="single"/>
          </w:rPr>
          <w:t>Employment</w:t>
        </w:r>
        <w:proofErr w:type="spellEnd"/>
        <w:r>
          <w:rPr>
            <w:u w:val="single"/>
          </w:rPr>
          <w:t xml:space="preserve">, Social </w:t>
        </w:r>
        <w:hyperlink r:id="rId21">
          <w:r>
            <w:rPr>
              <w:u w:val="single"/>
            </w:rPr>
            <w:t>Affairs &amp; Inclusion (Zaposlovanje, socialne</w:t>
          </w:r>
        </w:hyperlink>
        <w:r>
          <w:rPr>
            <w:u w:val="single"/>
          </w:rPr>
          <w:t xml:space="preserve"> zadeve in usposabljanje; vključevanje) – Evropska komisija (europa.eu).</w:t>
        </w:r>
      </w:hyperlink>
    </w:p>
    <w:p w14:paraId="16A174C1" w14:textId="77777777" w:rsidR="00757A69" w:rsidRDefault="00757A69">
      <w:pPr>
        <w:pStyle w:val="Telobesedila"/>
        <w:spacing w:before="7"/>
        <w:rPr>
          <w:sz w:val="23"/>
        </w:rPr>
      </w:pPr>
    </w:p>
    <w:p w14:paraId="4B08D51F" w14:textId="77777777" w:rsidR="00757A69" w:rsidRDefault="00000000">
      <w:pPr>
        <w:pStyle w:val="Telobesedila"/>
        <w:spacing w:line="280" w:lineRule="auto"/>
        <w:ind w:left="342" w:right="18"/>
      </w:pPr>
      <w:r>
        <w:rPr>
          <w:noProof/>
        </w:rPr>
        <w:drawing>
          <wp:anchor distT="0" distB="0" distL="0" distR="0" simplePos="0" relativeHeight="15732224" behindDoc="0" locked="0" layoutInCell="1" allowOverlap="1" wp14:anchorId="7D731387" wp14:editId="42C11D60">
            <wp:simplePos x="0" y="0"/>
            <wp:positionH relativeFrom="page">
              <wp:posOffset>301126</wp:posOffset>
            </wp:positionH>
            <wp:positionV relativeFrom="paragraph">
              <wp:posOffset>46170</wp:posOffset>
            </wp:positionV>
            <wp:extent cx="114232" cy="90933"/>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2" cstate="print"/>
                    <a:stretch>
                      <a:fillRect/>
                    </a:stretch>
                  </pic:blipFill>
                  <pic:spPr>
                    <a:xfrm>
                      <a:off x="0" y="0"/>
                      <a:ext cx="114232" cy="90933"/>
                    </a:xfrm>
                    <a:prstGeom prst="rect">
                      <a:avLst/>
                    </a:prstGeom>
                  </pic:spPr>
                </pic:pic>
              </a:graphicData>
            </a:graphic>
          </wp:anchor>
        </w:drawing>
      </w:r>
      <w:r>
        <w:rPr>
          <w:color w:val="212121"/>
        </w:rPr>
        <w:t>Ministri in ministrice za zaposlovanje in socialne zadeve so po objavi poročila o ustreznosti pokojnin za leto 2024, ki sta ga pripravila Evropska komisija in Odbor za socialno zaščito, sprejeli sklepe Sveta o zagotavljanju ustreznih pokojnin po vsej EU. V poročilu je poudarjena nujna potreba po ukrepih za zagotovitev varnosti pri upokojitveni starosti in preprečitev, da bi se socialno-ekonomske enakosti povečevale s starostjo.</w:t>
      </w:r>
    </w:p>
    <w:p w14:paraId="2CE4EB44" w14:textId="77777777" w:rsidR="00757A69" w:rsidRDefault="00757A69">
      <w:pPr>
        <w:pStyle w:val="Telobesedila"/>
        <w:spacing w:before="11"/>
        <w:rPr>
          <w:sz w:val="23"/>
        </w:rPr>
      </w:pPr>
    </w:p>
    <w:p w14:paraId="652263D8" w14:textId="77777777" w:rsidR="00757A69" w:rsidRDefault="00000000">
      <w:pPr>
        <w:pStyle w:val="Telobesedila"/>
        <w:spacing w:line="280" w:lineRule="auto"/>
        <w:ind w:left="342" w:right="192"/>
      </w:pPr>
      <w:proofErr w:type="spellStart"/>
      <w:r>
        <w:rPr>
          <w:rFonts w:ascii="Tahoma"/>
          <w:b/>
          <w:color w:val="153C61"/>
        </w:rPr>
        <w:t>Read</w:t>
      </w:r>
      <w:proofErr w:type="spellEnd"/>
      <w:r>
        <w:rPr>
          <w:rFonts w:ascii="Tahoma"/>
          <w:b/>
          <w:color w:val="153C61"/>
        </w:rPr>
        <w:t xml:space="preserve"> more </w:t>
      </w:r>
      <w:hyperlink r:id="rId23">
        <w:r>
          <w:rPr>
            <w:color w:val="212121"/>
            <w:u w:val="single" w:color="212121"/>
          </w:rPr>
          <w:t>Poročilo o ustreznosti pokojnin poudarja</w:t>
        </w:r>
      </w:hyperlink>
      <w:r>
        <w:rPr>
          <w:color w:val="212121"/>
        </w:rPr>
        <w:t xml:space="preserve"> </w:t>
      </w:r>
      <w:hyperlink r:id="rId24">
        <w:r>
          <w:rPr>
            <w:color w:val="212121"/>
            <w:u w:val="single" w:color="212121"/>
          </w:rPr>
          <w:t xml:space="preserve">pomen odpornih evropskih pokojninskih sistemov </w:t>
        </w:r>
        <w:hyperlink r:id="rId25">
          <w:r>
            <w:rPr>
              <w:color w:val="212121"/>
              <w:u w:val="single" w:color="212121"/>
            </w:rPr>
            <w:t>pri soočanju</w:t>
          </w:r>
        </w:hyperlink>
        <w:r>
          <w:rPr>
            <w:color w:val="212121"/>
            <w:u w:val="single" w:color="212121"/>
          </w:rPr>
          <w:t xml:space="preserve"> s svetovnimi izzivi - Zaposlovanje, socialne</w:t>
        </w:r>
      </w:hyperlink>
      <w:r>
        <w:rPr>
          <w:color w:val="212121"/>
        </w:rPr>
        <w:t xml:space="preserve"> </w:t>
      </w:r>
      <w:hyperlink r:id="rId26">
        <w:r>
          <w:rPr>
            <w:color w:val="212121"/>
            <w:u w:val="single" w:color="212121"/>
          </w:rPr>
          <w:t xml:space="preserve">zadeve in </w:t>
        </w:r>
        <w:proofErr w:type="spellStart"/>
        <w:r>
          <w:rPr>
            <w:color w:val="212121"/>
            <w:u w:val="single" w:color="212121"/>
          </w:rPr>
          <w:t>amp</w:t>
        </w:r>
        <w:proofErr w:type="spellEnd"/>
        <w:r>
          <w:rPr>
            <w:color w:val="212121"/>
            <w:u w:val="single" w:color="212121"/>
          </w:rPr>
          <w:t>; Vključevanje - Evropska komisija (europa.eu)</w:t>
        </w:r>
      </w:hyperlink>
    </w:p>
    <w:p w14:paraId="735D54FE" w14:textId="77777777" w:rsidR="00757A69" w:rsidRDefault="00757A69">
      <w:pPr>
        <w:pStyle w:val="Telobesedila"/>
        <w:spacing w:before="8"/>
        <w:rPr>
          <w:sz w:val="23"/>
        </w:rPr>
      </w:pPr>
    </w:p>
    <w:p w14:paraId="5E929A52" w14:textId="77777777" w:rsidR="00757A69" w:rsidRDefault="00000000">
      <w:pPr>
        <w:pStyle w:val="Telobesedila"/>
        <w:spacing w:line="280" w:lineRule="auto"/>
        <w:ind w:left="342" w:right="192"/>
      </w:pPr>
      <w:r>
        <w:rPr>
          <w:noProof/>
        </w:rPr>
        <w:drawing>
          <wp:anchor distT="0" distB="0" distL="0" distR="0" simplePos="0" relativeHeight="15733760" behindDoc="0" locked="0" layoutInCell="1" allowOverlap="1" wp14:anchorId="0590C51E" wp14:editId="1DE6D030">
            <wp:simplePos x="0" y="0"/>
            <wp:positionH relativeFrom="page">
              <wp:posOffset>301126</wp:posOffset>
            </wp:positionH>
            <wp:positionV relativeFrom="paragraph">
              <wp:posOffset>41216</wp:posOffset>
            </wp:positionV>
            <wp:extent cx="114232" cy="95249"/>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7" cstate="print"/>
                    <a:stretch>
                      <a:fillRect/>
                    </a:stretch>
                  </pic:blipFill>
                  <pic:spPr>
                    <a:xfrm>
                      <a:off x="0" y="0"/>
                      <a:ext cx="114232" cy="95249"/>
                    </a:xfrm>
                    <a:prstGeom prst="rect">
                      <a:avLst/>
                    </a:prstGeom>
                  </pic:spPr>
                </pic:pic>
              </a:graphicData>
            </a:graphic>
          </wp:anchor>
        </w:drawing>
      </w:r>
      <w:r>
        <w:rPr>
          <w:color w:val="212121"/>
        </w:rPr>
        <w:t>Komisija je predlagala posodobljene smernice za politike zaposlovanja držav članic za leto 2024. Cilj teh smernic je odpraviti pomanjkanje spretnosti in delovne sile, izboljšati osnovna in digitalna znanja in spretnosti ter upoštevati vpliv novih tehnologij, vključno z umetno inteligenco in algoritemskim upravljanjem, na delovno mesto.</w:t>
      </w:r>
    </w:p>
    <w:p w14:paraId="393713FB" w14:textId="77777777" w:rsidR="00757A69" w:rsidRDefault="00000000">
      <w:pPr>
        <w:pStyle w:val="P68B1DB1-BodyText9"/>
        <w:spacing w:before="3" w:line="280" w:lineRule="auto"/>
        <w:ind w:left="342" w:right="192"/>
      </w:pPr>
      <w:r>
        <w:t xml:space="preserve">Poleg tega zajemajo nedavne pobude politike, povezane s </w:t>
      </w:r>
      <w:proofErr w:type="spellStart"/>
      <w:r>
        <w:t>platformnim</w:t>
      </w:r>
      <w:proofErr w:type="spellEnd"/>
      <w:r>
        <w:t xml:space="preserve"> delom, socialnim gospodarstvom in cenovno dostopnimi stanovanji, zaradi česar so nacionalne politike zaposlovanja in socialne politike bolj vključujoče in pravičnejše.</w:t>
      </w:r>
    </w:p>
    <w:p w14:paraId="11065602" w14:textId="77777777" w:rsidR="00757A69" w:rsidRDefault="00757A69">
      <w:pPr>
        <w:pStyle w:val="Telobesedila"/>
        <w:spacing w:before="8"/>
        <w:rPr>
          <w:sz w:val="23"/>
        </w:rPr>
      </w:pPr>
    </w:p>
    <w:p w14:paraId="3B1E4BB1" w14:textId="77777777" w:rsidR="00757A69" w:rsidRDefault="00000000">
      <w:pPr>
        <w:pStyle w:val="Telobesedila"/>
        <w:spacing w:line="280" w:lineRule="auto"/>
        <w:ind w:left="342" w:right="282"/>
      </w:pPr>
      <w:hyperlink r:id="rId28">
        <w:r>
          <w:rPr>
            <w:u w:val="single"/>
          </w:rPr>
          <w:t>Evropska komisija predlaga smernice za</w:t>
        </w:r>
      </w:hyperlink>
      <w:r>
        <w:t xml:space="preserve"> </w:t>
      </w:r>
      <w:hyperlink r:id="rId29">
        <w:r>
          <w:rPr>
            <w:u w:val="single"/>
          </w:rPr>
          <w:t>politike zaposlovanja držav članic - Zaposlovanje,</w:t>
        </w:r>
      </w:hyperlink>
      <w:r>
        <w:t xml:space="preserve"> </w:t>
      </w:r>
      <w:hyperlink r:id="rId30">
        <w:r>
          <w:rPr>
            <w:u w:val="single"/>
          </w:rPr>
          <w:t>socialne zadeve in vključevanje - Evropska komisija</w:t>
        </w:r>
      </w:hyperlink>
      <w:r>
        <w:t xml:space="preserve"> </w:t>
      </w:r>
      <w:hyperlink r:id="rId31">
        <w:r>
          <w:t>(europa.eu)</w:t>
        </w:r>
      </w:hyperlink>
    </w:p>
    <w:p w14:paraId="144A8B49" w14:textId="77777777" w:rsidR="00757A69" w:rsidRDefault="00000000">
      <w:pPr>
        <w:pStyle w:val="Telobesedila"/>
        <w:spacing w:before="1"/>
        <w:rPr>
          <w:sz w:val="21"/>
        </w:rPr>
      </w:pPr>
      <w:r>
        <w:br w:type="column"/>
      </w:r>
    </w:p>
    <w:p w14:paraId="0ACE3C06" w14:textId="77777777" w:rsidR="00757A69" w:rsidRDefault="00000000">
      <w:pPr>
        <w:pStyle w:val="P68B1DB1-BodyText9"/>
        <w:spacing w:line="280" w:lineRule="auto"/>
        <w:ind w:left="356" w:right="439"/>
      </w:pPr>
      <w:r>
        <w:t>Komisija je prek instrumenta za povezovanje Evrope (IPE) dodelila več kot 7 milijard evrov nepovratnih sredstev EU 134 prometnim projektom, kar je največji krog financiranja v okviru sedanjega programa IPE za promet. Približno 83 % sredstev je namenjenih projektom, ki so usklajeni s podnebnimi cilji EU in se osredotočajo na izboljšanje in posodobitev železnic, celinskih plovnih poti in pomorskih poti EU v vseevropskem prometnem omrežju (TEN-T). Železniški projekti naj bi prejeli 80 % od skupno 7 milijard evrov. Poleg tega se bo posodobljena uredba TEN-T začela izvajati jutri, 18. julija.</w:t>
      </w:r>
    </w:p>
    <w:p w14:paraId="24E1771E" w14:textId="77777777" w:rsidR="00757A69" w:rsidRDefault="00757A69">
      <w:pPr>
        <w:pStyle w:val="Telobesedila"/>
        <w:spacing w:before="2"/>
        <w:rPr>
          <w:sz w:val="24"/>
        </w:rPr>
      </w:pPr>
    </w:p>
    <w:p w14:paraId="78A37191" w14:textId="77777777" w:rsidR="00757A69" w:rsidRDefault="00000000">
      <w:pPr>
        <w:pStyle w:val="Telobesedila"/>
        <w:spacing w:line="280" w:lineRule="auto"/>
        <w:ind w:left="356" w:right="563"/>
      </w:pPr>
      <w:r>
        <w:rPr>
          <w:noProof/>
        </w:rPr>
        <w:drawing>
          <wp:anchor distT="0" distB="0" distL="0" distR="0" simplePos="0" relativeHeight="15732736" behindDoc="0" locked="0" layoutInCell="1" allowOverlap="1" wp14:anchorId="3ACD956F" wp14:editId="7BEA8E8D">
            <wp:simplePos x="0" y="0"/>
            <wp:positionH relativeFrom="page">
              <wp:posOffset>3942202</wp:posOffset>
            </wp:positionH>
            <wp:positionV relativeFrom="paragraph">
              <wp:posOffset>-2671045</wp:posOffset>
            </wp:positionV>
            <wp:extent cx="114232" cy="90933"/>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2" cstate="print"/>
                    <a:stretch>
                      <a:fillRect/>
                    </a:stretch>
                  </pic:blipFill>
                  <pic:spPr>
                    <a:xfrm>
                      <a:off x="0" y="0"/>
                      <a:ext cx="114232" cy="90933"/>
                    </a:xfrm>
                    <a:prstGeom prst="rect">
                      <a:avLst/>
                    </a:prstGeom>
                  </pic:spPr>
                </pic:pic>
              </a:graphicData>
            </a:graphic>
          </wp:anchor>
        </w:drawing>
      </w:r>
      <w:hyperlink r:id="rId32">
        <w:r>
          <w:rPr>
            <w:color w:val="212121"/>
            <w:u w:val="single" w:color="212121"/>
          </w:rPr>
          <w:t>Preberi več EU vlaga rekordnih 7 milijard evrov v</w:t>
        </w:r>
      </w:hyperlink>
      <w:r>
        <w:rPr>
          <w:color w:val="212121"/>
        </w:rPr>
        <w:t xml:space="preserve"> </w:t>
      </w:r>
      <w:hyperlink r:id="rId33">
        <w:r>
          <w:rPr>
            <w:color w:val="212121"/>
            <w:u w:val="single" w:color="212121"/>
          </w:rPr>
          <w:t>trajnostno, varno in pametno prometno infrastrukturo</w:t>
        </w:r>
      </w:hyperlink>
    </w:p>
    <w:p w14:paraId="3148C64E" w14:textId="77777777" w:rsidR="00757A69" w:rsidRDefault="00000000">
      <w:pPr>
        <w:pStyle w:val="P68B1DB1-BodyText10"/>
        <w:spacing w:before="1"/>
        <w:ind w:left="356"/>
      </w:pPr>
      <w:hyperlink r:id="rId34">
        <w:r>
          <w:t>– Evropska komisija (europa.eu)</w:t>
        </w:r>
      </w:hyperlink>
    </w:p>
    <w:p w14:paraId="4FEC7746" w14:textId="77777777" w:rsidR="00757A69" w:rsidRDefault="00757A69">
      <w:pPr>
        <w:pStyle w:val="Telobesedila"/>
        <w:spacing w:before="11"/>
        <w:rPr>
          <w:sz w:val="26"/>
        </w:rPr>
      </w:pPr>
    </w:p>
    <w:p w14:paraId="3DA8A992" w14:textId="77777777" w:rsidR="00757A69" w:rsidRDefault="00000000">
      <w:pPr>
        <w:pStyle w:val="Telobesedila"/>
        <w:spacing w:line="280" w:lineRule="auto"/>
        <w:ind w:left="356" w:right="439"/>
      </w:pPr>
      <w:r>
        <w:rPr>
          <w:noProof/>
        </w:rPr>
        <w:drawing>
          <wp:anchor distT="0" distB="0" distL="0" distR="0" simplePos="0" relativeHeight="15733248" behindDoc="0" locked="0" layoutInCell="1" allowOverlap="1" wp14:anchorId="706B9F25" wp14:editId="6BC54C3E">
            <wp:simplePos x="0" y="0"/>
            <wp:positionH relativeFrom="page">
              <wp:posOffset>3942202</wp:posOffset>
            </wp:positionH>
            <wp:positionV relativeFrom="paragraph">
              <wp:posOffset>53575</wp:posOffset>
            </wp:positionV>
            <wp:extent cx="114232" cy="95249"/>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5" cstate="print"/>
                    <a:stretch>
                      <a:fillRect/>
                    </a:stretch>
                  </pic:blipFill>
                  <pic:spPr>
                    <a:xfrm>
                      <a:off x="0" y="0"/>
                      <a:ext cx="114232" cy="95249"/>
                    </a:xfrm>
                    <a:prstGeom prst="rect">
                      <a:avLst/>
                    </a:prstGeom>
                  </pic:spPr>
                </pic:pic>
              </a:graphicData>
            </a:graphic>
          </wp:anchor>
        </w:drawing>
      </w:r>
      <w:r>
        <w:rPr>
          <w:color w:val="212121"/>
        </w:rPr>
        <w:t>Inovacijska uspešnost Evropske unije še naprej stalno napreduje, saj se je od leta 2017 povečala za 10 %, med letoma 2023 in 2024 pa za 0,5 %. Danes objavljena izdaja evropskega sistema inovacijskih kazalnikov za leto 2024 kaže, da je večina držav članic EU izboljšala svojo inovacijsko uspešnost, čeprav se obseg izboljšav močno razlikuje. Med letoma 2023 in 2024 se je inovacijska uspešnost izboljšala v 15 državah članicah, v 11 se je zmanjšala, na Hrvaškem pa je ostala stabilna. Danska ohranja svoj položaj kot najbolj inovativna država EU, sledi ji Švedska, ki je bila med letoma 2017 in 2022 vodilna na lestvici. Estonija, ki od leta 2017 beleži stalno rast, se je povzpela v kategorijo močnih inovatorjev.</w:t>
      </w:r>
    </w:p>
    <w:p w14:paraId="0A7E2A86" w14:textId="77777777" w:rsidR="00757A69" w:rsidRDefault="00000000">
      <w:pPr>
        <w:pStyle w:val="P68B1DB1-BodyText9"/>
        <w:spacing w:before="10" w:line="280" w:lineRule="auto"/>
        <w:ind w:left="356" w:right="549"/>
      </w:pPr>
      <w:r>
        <w:t>Belgija kljub padcu z vodilnega položaja na področju inovacij na položaj močnega inovatorja še vedno zaseda peto skupno mesto. Švica je najbolj inovativna evropska država v širšem mednarodnem kontekstu, medtem ko Južna Koreja ostaja vodilna svetovna konkurentka na področju inovacij za leto 2024. Kitajska je prehitela Japonsko in postopoma zmanjšuje inovacijsko vrzel z EU.</w:t>
      </w:r>
    </w:p>
    <w:p w14:paraId="2531FA0C" w14:textId="77777777" w:rsidR="00757A69" w:rsidRDefault="00757A69">
      <w:pPr>
        <w:pStyle w:val="Telobesedila"/>
        <w:spacing w:before="10"/>
        <w:rPr>
          <w:sz w:val="23"/>
        </w:rPr>
      </w:pPr>
    </w:p>
    <w:p w14:paraId="09526E03" w14:textId="77777777" w:rsidR="00757A69" w:rsidRDefault="00000000">
      <w:pPr>
        <w:pStyle w:val="Telobesedila"/>
        <w:spacing w:line="280" w:lineRule="auto"/>
        <w:ind w:left="356" w:right="563"/>
      </w:pPr>
      <w:r>
        <w:rPr>
          <w:rFonts w:ascii="Tahoma"/>
          <w:b/>
          <w:color w:val="153C61"/>
        </w:rPr>
        <w:t xml:space="preserve">Rezultati so na voljo tukaj: </w:t>
      </w:r>
      <w:hyperlink r:id="rId36">
        <w:proofErr w:type="spellStart"/>
        <w:r>
          <w:rPr>
            <w:u w:val="single"/>
          </w:rPr>
          <w:t>European's</w:t>
        </w:r>
        <w:proofErr w:type="spellEnd"/>
        <w:r>
          <w:rPr>
            <w:u w:val="single"/>
          </w:rPr>
          <w:t xml:space="preserve"> innovation </w:t>
        </w:r>
        <w:proofErr w:type="spellStart"/>
        <w:r>
          <w:rPr>
            <w:u w:val="single"/>
          </w:rPr>
          <w:t>performance</w:t>
        </w:r>
        <w:proofErr w:type="spellEnd"/>
        <w:r>
          <w:rPr>
            <w:u w:val="single"/>
          </w:rPr>
          <w:t xml:space="preserve"> </w:t>
        </w:r>
        <w:hyperlink r:id="rId37">
          <w:r>
            <w:rPr>
              <w:u w:val="single"/>
            </w:rPr>
            <w:t>steadil y improving (europa.eu) (Evropska inovacijska uspešnost</w:t>
          </w:r>
        </w:hyperlink>
        <w:r>
          <w:rPr>
            <w:u w:val="single"/>
          </w:rPr>
          <w:t xml:space="preserve"> </w:t>
        </w:r>
        <w:proofErr w:type="spellStart"/>
        <w:r>
          <w:rPr>
            <w:u w:val="single"/>
          </w:rPr>
          <w:t>se</w:t>
        </w:r>
      </w:hyperlink>
      <w:r>
        <w:rPr>
          <w:rFonts w:ascii="Tahoma"/>
          <w:b/>
          <w:color w:val="153C61"/>
        </w:rPr>
        <w:t>izbolj</w:t>
      </w:r>
      <w:r>
        <w:rPr>
          <w:rFonts w:ascii="Tahoma"/>
          <w:b/>
          <w:color w:val="153C61"/>
        </w:rPr>
        <w:t>š</w:t>
      </w:r>
      <w:r>
        <w:rPr>
          <w:rFonts w:ascii="Tahoma"/>
          <w:b/>
          <w:color w:val="153C61"/>
        </w:rPr>
        <w:t>uje</w:t>
      </w:r>
      <w:proofErr w:type="spellEnd"/>
      <w:r>
        <w:rPr>
          <w:rFonts w:ascii="Tahoma"/>
          <w:b/>
          <w:color w:val="153C61"/>
        </w:rPr>
        <w:t>).</w:t>
      </w:r>
    </w:p>
    <w:p w14:paraId="3A531FCA" w14:textId="77777777" w:rsidR="00757A69" w:rsidRDefault="00757A69">
      <w:pPr>
        <w:spacing w:line="280" w:lineRule="auto"/>
        <w:sectPr w:rsidR="00757A69">
          <w:type w:val="continuous"/>
          <w:pgSz w:w="11910" w:h="16850"/>
          <w:pgMar w:top="0" w:right="120" w:bottom="340" w:left="360" w:header="708" w:footer="708" w:gutter="0"/>
          <w:cols w:num="2" w:space="708" w:equalWidth="0">
            <w:col w:w="5588" w:space="146"/>
            <w:col w:w="5696"/>
          </w:cols>
        </w:sectPr>
      </w:pPr>
    </w:p>
    <w:p w14:paraId="21F752CA" w14:textId="77777777" w:rsidR="00757A69" w:rsidRDefault="00000000">
      <w:pPr>
        <w:pStyle w:val="Telobesedila"/>
      </w:pPr>
      <w:r>
        <w:pict w14:anchorId="0B0AE5D5">
          <v:group id="_x0000_s2050" style="position:absolute;margin-left:0;margin-top:0;width:595.5pt;height:842.25pt;z-index:-15884288;mso-position-horizontal-relative:page;mso-position-vertical-relative:page" coordsize="11910,16845">
            <v:shape id="_x0000_s2056" style="position:absolute;top:13876;width:3595;height:2969" coordorigin=",13876" coordsize="3595,2969" path="m1517,13969r1985,1985l3569,16056r19,64l3595,16188r-7,67l3569,16320r-32,59l3494,16432r-413,413l,16845,,15017,1040,13977r52,-43l1152,13903r64,-20l1284,13876r67,7l1416,13903r59,31l1517,13969xe" fillcolor="#153c61" stroked="f">
              <v:path arrowok="t"/>
            </v:shape>
            <v:shape id="_x0000_s2055" type="#_x0000_t75" style="position:absolute;width:11910;height:15450">
              <v:imagedata r:id="rId38" o:title=""/>
            </v:shape>
            <v:rect id="_x0000_s2054" style="position:absolute;width:11910;height:15452" fillcolor="#153c61" stroked="f">
              <v:fill opacity=".75"/>
            </v:rect>
            <v:shape id="_x0000_s2053" type="#_x0000_t75" style="position:absolute;left:3896;top:15647;width:7499;height:930">
              <v:imagedata r:id="rId39" o:title=""/>
            </v:shape>
            <v:shape id="_x0000_s2052" type="#_x0000_t75" style="position:absolute;left:449;top:15856;width:2790;height:615">
              <v:imagedata r:id="rId40" o:title=""/>
            </v:shape>
            <v:shape id="_x0000_s2051" style="position:absolute;left:3406;top:9408;width:1269;height:15" coordorigin="3407,9409" coordsize="1269,15" path="m4675,9409r-412,l3407,9409r,15l4263,9424r412,l4675,9409xe" stroked="f">
              <v:path arrowok="t"/>
            </v:shape>
            <w10:wrap anchorx="page" anchory="page"/>
          </v:group>
        </w:pict>
      </w:r>
    </w:p>
    <w:p w14:paraId="282FD106" w14:textId="77777777" w:rsidR="00757A69" w:rsidRDefault="00757A69">
      <w:pPr>
        <w:pStyle w:val="Telobesedila"/>
      </w:pPr>
    </w:p>
    <w:p w14:paraId="4D728B27" w14:textId="77777777" w:rsidR="00757A69" w:rsidRDefault="00757A69">
      <w:pPr>
        <w:pStyle w:val="Telobesedila"/>
      </w:pPr>
    </w:p>
    <w:p w14:paraId="3E5124F2" w14:textId="77777777" w:rsidR="00757A69" w:rsidRDefault="00757A69">
      <w:pPr>
        <w:pStyle w:val="Telobesedila"/>
      </w:pPr>
    </w:p>
    <w:p w14:paraId="4A032038" w14:textId="77777777" w:rsidR="00757A69" w:rsidRDefault="00757A69">
      <w:pPr>
        <w:pStyle w:val="Telobesedila"/>
      </w:pPr>
    </w:p>
    <w:p w14:paraId="74F7E90B" w14:textId="77777777" w:rsidR="00757A69" w:rsidRDefault="00757A69">
      <w:pPr>
        <w:pStyle w:val="Telobesedila"/>
      </w:pPr>
    </w:p>
    <w:p w14:paraId="65B44FFE" w14:textId="77777777" w:rsidR="00757A69" w:rsidRDefault="00757A69">
      <w:pPr>
        <w:pStyle w:val="Telobesedila"/>
      </w:pPr>
    </w:p>
    <w:p w14:paraId="516DACFF" w14:textId="77777777" w:rsidR="00757A69" w:rsidRDefault="00757A69">
      <w:pPr>
        <w:pStyle w:val="Telobesedila"/>
      </w:pPr>
    </w:p>
    <w:p w14:paraId="779297C9" w14:textId="77777777" w:rsidR="00757A69" w:rsidRDefault="00757A69">
      <w:pPr>
        <w:pStyle w:val="Telobesedila"/>
      </w:pPr>
    </w:p>
    <w:p w14:paraId="4DD60277" w14:textId="77777777" w:rsidR="00757A69" w:rsidRDefault="00757A69">
      <w:pPr>
        <w:pStyle w:val="Telobesedila"/>
      </w:pPr>
    </w:p>
    <w:p w14:paraId="2629603B" w14:textId="77777777" w:rsidR="00757A69" w:rsidRDefault="00757A69">
      <w:pPr>
        <w:pStyle w:val="Telobesedila"/>
      </w:pPr>
    </w:p>
    <w:p w14:paraId="1C5D7879" w14:textId="77777777" w:rsidR="00757A69" w:rsidRDefault="00757A69">
      <w:pPr>
        <w:pStyle w:val="Telobesedila"/>
      </w:pPr>
    </w:p>
    <w:p w14:paraId="48E386E8" w14:textId="77777777" w:rsidR="00757A69" w:rsidRDefault="00757A69">
      <w:pPr>
        <w:pStyle w:val="Telobesedila"/>
      </w:pPr>
    </w:p>
    <w:p w14:paraId="5BBB6106" w14:textId="77777777" w:rsidR="00757A69" w:rsidRDefault="00757A69">
      <w:pPr>
        <w:pStyle w:val="Telobesedila"/>
      </w:pPr>
    </w:p>
    <w:p w14:paraId="3E860EDA" w14:textId="77777777" w:rsidR="00757A69" w:rsidRDefault="00757A69">
      <w:pPr>
        <w:pStyle w:val="Telobesedila"/>
      </w:pPr>
    </w:p>
    <w:p w14:paraId="37F49BB6" w14:textId="77777777" w:rsidR="00757A69" w:rsidRDefault="00757A69">
      <w:pPr>
        <w:pStyle w:val="Telobesedila"/>
      </w:pPr>
    </w:p>
    <w:p w14:paraId="3E0658C7" w14:textId="77777777" w:rsidR="00757A69" w:rsidRDefault="00757A69">
      <w:pPr>
        <w:pStyle w:val="Telobesedila"/>
      </w:pPr>
    </w:p>
    <w:p w14:paraId="1488A4F6" w14:textId="77777777" w:rsidR="00757A69" w:rsidRDefault="00757A69">
      <w:pPr>
        <w:pStyle w:val="Telobesedila"/>
        <w:spacing w:before="4"/>
        <w:rPr>
          <w:sz w:val="29"/>
        </w:rPr>
      </w:pPr>
    </w:p>
    <w:p w14:paraId="592D1C99" w14:textId="77777777" w:rsidR="00757A69" w:rsidRDefault="00000000">
      <w:pPr>
        <w:pStyle w:val="P68B1DB1-BodyText4"/>
        <w:spacing w:before="102" w:line="295" w:lineRule="auto"/>
        <w:ind w:left="259" w:right="595"/>
      </w:pPr>
      <w:r>
        <w:t xml:space="preserve">Ta bilten je del projekta </w:t>
      </w:r>
      <w:proofErr w:type="spellStart"/>
      <w:r>
        <w:t>IoreSME</w:t>
      </w:r>
      <w:proofErr w:type="spellEnd"/>
      <w:r>
        <w:t xml:space="preserve"> in je namenjen zagotavljanju informacij, ki so pomembne za poslovno skupnost, o zelenem dogovoru EU in evropskem stebru socialnih pravic.</w:t>
      </w:r>
    </w:p>
    <w:p w14:paraId="32AF125E" w14:textId="77777777" w:rsidR="00757A69" w:rsidRDefault="00757A69">
      <w:pPr>
        <w:pStyle w:val="Telobesedila"/>
        <w:spacing w:before="11"/>
        <w:rPr>
          <w:sz w:val="24"/>
        </w:rPr>
      </w:pPr>
    </w:p>
    <w:p w14:paraId="01607280" w14:textId="77777777" w:rsidR="00757A69" w:rsidRDefault="00000000">
      <w:pPr>
        <w:pStyle w:val="P68B1DB1-BodyText4"/>
        <w:spacing w:line="295" w:lineRule="auto"/>
        <w:ind w:left="259" w:right="752"/>
      </w:pPr>
      <w:r>
        <w:t xml:space="preserve">Cilj projekta </w:t>
      </w:r>
      <w:proofErr w:type="spellStart"/>
      <w:r>
        <w:t>IoreSME</w:t>
      </w:r>
      <w:proofErr w:type="spellEnd"/>
      <w:r>
        <w:t xml:space="preserve"> je povečati ozaveščenost in prepoznavnost dejavnosti/funkcije/odgovornosti organizacij delodajalcev MSP v EU ter spodbujati njihovo vlogo socialnih partnerjev. </w:t>
      </w:r>
      <w:proofErr w:type="spellStart"/>
      <w:r>
        <w:t>IoreSME</w:t>
      </w:r>
      <w:proofErr w:type="spellEnd"/>
      <w:r>
        <w:t xml:space="preserve"> si prizadeva razumeti pričakovanja članov socialnih partnerjev, hkrati pa jim ponuja priložnost za ozaveščanje o njihovih storitvah in njihovi vlogi v diskurzu socialnega dialoga v njihovi državi.</w:t>
      </w:r>
    </w:p>
    <w:p w14:paraId="6C153D83" w14:textId="77777777" w:rsidR="00757A69" w:rsidRDefault="00757A69">
      <w:pPr>
        <w:pStyle w:val="Telobesedila"/>
        <w:rPr>
          <w:sz w:val="25"/>
        </w:rPr>
      </w:pPr>
    </w:p>
    <w:p w14:paraId="05E5C075" w14:textId="77777777" w:rsidR="00757A69" w:rsidRDefault="00000000">
      <w:pPr>
        <w:pStyle w:val="P68B1DB1-BodyText4"/>
        <w:spacing w:line="295" w:lineRule="auto"/>
        <w:ind w:left="259" w:right="595"/>
      </w:pPr>
      <w:r>
        <w:t xml:space="preserve">Partnerji projekta so </w:t>
      </w:r>
      <w:hyperlink r:id="rId41">
        <w:r>
          <w:rPr>
            <w:u w:val="single" w:color="FFFFFF"/>
          </w:rPr>
          <w:t>Malteška zbornica MSP (smechamber.mt);</w:t>
        </w:r>
      </w:hyperlink>
      <w:r>
        <w:t xml:space="preserve"> </w:t>
      </w:r>
      <w:hyperlink r:id="rId42">
        <w:r>
          <w:rPr>
            <w:u w:val="single" w:color="FFFFFF"/>
          </w:rPr>
          <w:t xml:space="preserve">O podjetju </w:t>
        </w:r>
        <w:r>
          <w:rPr>
            <w:rFonts w:ascii="Malgun Gothic" w:hAnsi="Malgun Gothic" w:cs="Malgun Gothic"/>
            <w:u w:val="single" w:color="FFFFFF"/>
          </w:rPr>
          <w:t>⁇</w:t>
        </w:r>
        <w:r>
          <w:rPr>
            <w:u w:val="single" w:color="FFFFFF"/>
          </w:rPr>
          <w:t xml:space="preserve"> GSEVEE: grška konfederacija </w:t>
        </w:r>
        <w:hyperlink r:id="rId43">
          <w:r w:rsidR="00EF129F" w:rsidRPr="00EF129F">
            <w:rPr>
              <w:rStyle w:val="Hiperpovezava"/>
              <w:sz w:val="22"/>
            </w:rPr>
            <w:t>https://www.gsevee.gr/en-us/about</w:t>
          </w:r>
        </w:hyperlink>
        <w:r>
          <w:rPr>
            <w:u w:val="single" w:color="FFFFFF"/>
          </w:rPr>
          <w:t xml:space="preserve"> strokovnjakov, obrtnikov in trgovcev;</w:t>
        </w:r>
      </w:hyperlink>
      <w:r>
        <w:t xml:space="preserve"> </w:t>
      </w:r>
      <w:hyperlink r:id="rId44">
        <w:r>
          <w:rPr>
            <w:u w:val="single" w:color="FFFFFF"/>
          </w:rPr>
          <w:t xml:space="preserve">CNA </w:t>
        </w:r>
        <w:r>
          <w:rPr>
            <w:rFonts w:ascii="Malgun Gothic" w:eastAsia="Malgun Gothic" w:hAnsi="Malgun Gothic" w:cs="Malgun Gothic" w:hint="eastAsia"/>
            <w:u w:val="single" w:color="FFFFFF"/>
          </w:rPr>
          <w:t>⁇</w:t>
        </w:r>
        <w:r>
          <w:rPr>
            <w:u w:val="single" w:color="FFFFFF"/>
          </w:rPr>
          <w:t xml:space="preserve"> </w:t>
        </w:r>
        <w:proofErr w:type="spellStart"/>
        <w:r>
          <w:rPr>
            <w:u w:val="single" w:color="FFFFFF"/>
          </w:rPr>
          <w:t>Confederazione</w:t>
        </w:r>
        <w:proofErr w:type="spellEnd"/>
        <w:r>
          <w:rPr>
            <w:u w:val="single" w:color="FFFFFF"/>
          </w:rPr>
          <w:t xml:space="preserve"> </w:t>
        </w:r>
        <w:proofErr w:type="spellStart"/>
        <w:r>
          <w:rPr>
            <w:u w:val="single" w:color="FFFFFF"/>
          </w:rPr>
          <w:t>Nazionale</w:t>
        </w:r>
        <w:proofErr w:type="spellEnd"/>
        <w:r>
          <w:rPr>
            <w:u w:val="single" w:color="FFFFFF"/>
          </w:rPr>
          <w:t xml:space="preserve"> </w:t>
        </w:r>
        <w:proofErr w:type="spellStart"/>
        <w:r>
          <w:rPr>
            <w:u w:val="single" w:color="FFFFFF"/>
          </w:rPr>
          <w:t>dell'artigianato</w:t>
        </w:r>
        <w:proofErr w:type="spellEnd"/>
        <w:r>
          <w:rPr>
            <w:u w:val="single" w:color="FFFFFF"/>
          </w:rPr>
          <w:t xml:space="preserve"> e </w:t>
        </w:r>
        <w:proofErr w:type="spellStart"/>
        <w:r>
          <w:rPr>
            <w:u w:val="single" w:color="FFFFFF"/>
          </w:rPr>
          <w:t>della</w:t>
        </w:r>
        <w:proofErr w:type="spellEnd"/>
        <w:r>
          <w:rPr>
            <w:u w:val="single" w:color="FFFFFF"/>
          </w:rPr>
          <w:t xml:space="preserve"> </w:t>
        </w:r>
        <w:proofErr w:type="spellStart"/>
        <w:r>
          <w:rPr>
            <w:u w:val="single" w:color="FFFFFF"/>
          </w:rPr>
          <w:t>Piccola</w:t>
        </w:r>
        <w:proofErr w:type="spellEnd"/>
        <w:r>
          <w:rPr>
            <w:u w:val="single" w:color="FFFFFF"/>
          </w:rPr>
          <w:t xml:space="preserve"> e </w:t>
        </w:r>
        <w:proofErr w:type="spellStart"/>
        <w:r>
          <w:rPr>
            <w:u w:val="single" w:color="FFFFFF"/>
          </w:rPr>
          <w:t>Media</w:t>
        </w:r>
        <w:proofErr w:type="spellEnd"/>
        <w:r>
          <w:rPr>
            <w:u w:val="single" w:color="FFFFFF"/>
          </w:rPr>
          <w:t xml:space="preserve"> </w:t>
        </w:r>
        <w:proofErr w:type="spellStart"/>
        <w:r>
          <w:rPr>
            <w:u w:val="single" w:color="FFFFFF"/>
          </w:rPr>
          <w:t>Impresa</w:t>
        </w:r>
        <w:proofErr w:type="spellEnd"/>
      </w:hyperlink>
      <w:r>
        <w:t xml:space="preserve">; </w:t>
      </w:r>
      <w:hyperlink r:id="rId45">
        <w:r>
          <w:rPr>
            <w:u w:val="single" w:color="FFFFFF"/>
          </w:rPr>
          <w:t xml:space="preserve">Domov </w:t>
        </w:r>
        <w:r>
          <w:rPr>
            <w:rFonts w:ascii="Malgun Gothic" w:eastAsia="Malgun Gothic" w:hAnsi="Malgun Gothic" w:cs="Malgun Gothic" w:hint="eastAsia"/>
            <w:u w:val="single" w:color="FFFFFF"/>
          </w:rPr>
          <w:t>⁇</w:t>
        </w:r>
        <w:r>
          <w:rPr>
            <w:u w:val="single" w:color="FFFFFF"/>
          </w:rPr>
          <w:t xml:space="preserve"> UNIZO</w:t>
        </w:r>
      </w:hyperlink>
      <w:r>
        <w:t xml:space="preserve">; </w:t>
      </w:r>
      <w:hyperlink r:id="rId46">
        <w:r>
          <w:rPr>
            <w:u w:val="single" w:color="FFFFFF"/>
          </w:rPr>
          <w:t xml:space="preserve">domov – </w:t>
        </w:r>
        <w:proofErr w:type="spellStart"/>
        <w:r>
          <w:rPr>
            <w:u w:val="single" w:color="FFFFFF"/>
          </w:rPr>
          <w:t>Confartigianato</w:t>
        </w:r>
        <w:proofErr w:type="spellEnd"/>
        <w:r>
          <w:rPr>
            <w:u w:val="single" w:color="FFFFFF"/>
          </w:rPr>
          <w:t xml:space="preserve"> </w:t>
        </w:r>
        <w:proofErr w:type="spellStart"/>
        <w:r>
          <w:rPr>
            <w:u w:val="single" w:color="FFFFFF"/>
          </w:rPr>
          <w:t>Imprese</w:t>
        </w:r>
        <w:proofErr w:type="spellEnd"/>
        <w:r>
          <w:rPr>
            <w:u w:val="single" w:color="FFFFFF"/>
          </w:rPr>
          <w:t>;</w:t>
        </w:r>
      </w:hyperlink>
      <w:r>
        <w:t xml:space="preserve"> </w:t>
      </w:r>
      <w:hyperlink r:id="rId47">
        <w:r>
          <w:rPr>
            <w:u w:val="single" w:color="FFFFFF"/>
          </w:rPr>
          <w:t xml:space="preserve">SMEunited </w:t>
        </w:r>
        <w:r>
          <w:rPr>
            <w:rFonts w:ascii="Malgun Gothic" w:eastAsia="Malgun Gothic" w:hAnsi="Malgun Gothic" w:cs="Malgun Gothic" w:hint="eastAsia"/>
            <w:u w:val="single" w:color="FFFFFF"/>
          </w:rPr>
          <w:t>⁇</w:t>
        </w:r>
        <w:r>
          <w:rPr>
            <w:u w:val="single" w:color="FFFFFF"/>
          </w:rPr>
          <w:t xml:space="preserve"> </w:t>
        </w:r>
        <w:proofErr w:type="spellStart"/>
        <w:r>
          <w:rPr>
            <w:u w:val="single" w:color="FFFFFF"/>
          </w:rPr>
          <w:t>Crafts</w:t>
        </w:r>
        <w:proofErr w:type="spellEnd"/>
        <w:r>
          <w:rPr>
            <w:u w:val="single" w:color="FFFFFF"/>
          </w:rPr>
          <w:t xml:space="preserve"> &amp; MSP v Evropi;</w:t>
        </w:r>
      </w:hyperlink>
      <w:r>
        <w:t xml:space="preserve"> </w:t>
      </w:r>
      <w:hyperlink r:id="rId48">
        <w:r>
          <w:rPr>
            <w:u w:val="single" w:color="FFFFFF"/>
          </w:rPr>
          <w:t>O podjetju (ozs.si)</w:t>
        </w:r>
      </w:hyperlink>
    </w:p>
    <w:p w14:paraId="5A14FCE1" w14:textId="77777777" w:rsidR="00757A69" w:rsidRDefault="00757A69">
      <w:pPr>
        <w:pStyle w:val="Telobesedila"/>
        <w:rPr>
          <w:sz w:val="26"/>
        </w:rPr>
      </w:pPr>
    </w:p>
    <w:p w14:paraId="72361C4D" w14:textId="77777777" w:rsidR="00757A69" w:rsidRDefault="00757A69">
      <w:pPr>
        <w:pStyle w:val="Telobesedila"/>
        <w:spacing w:before="7"/>
        <w:rPr>
          <w:sz w:val="23"/>
        </w:rPr>
      </w:pPr>
    </w:p>
    <w:p w14:paraId="20E8AAA3" w14:textId="77777777" w:rsidR="00757A69" w:rsidRDefault="00000000">
      <w:pPr>
        <w:pStyle w:val="P68B1DB1-BodyText4"/>
        <w:spacing w:before="1" w:line="295" w:lineRule="auto"/>
        <w:ind w:left="259" w:right="970"/>
      </w:pPr>
      <w:r>
        <w:t xml:space="preserve">Projekt je sofinanciran s strani EU v okviru Evropskega socialnega sklada plus (ESS) Social </w:t>
      </w:r>
      <w:proofErr w:type="spellStart"/>
      <w:r>
        <w:t>Prerogatives</w:t>
      </w:r>
      <w:proofErr w:type="spellEnd"/>
      <w:r>
        <w:t xml:space="preserve"> </w:t>
      </w:r>
      <w:proofErr w:type="spellStart"/>
      <w:r>
        <w:t>and</w:t>
      </w:r>
      <w:proofErr w:type="spellEnd"/>
      <w:r>
        <w:t xml:space="preserve"> </w:t>
      </w:r>
      <w:proofErr w:type="spellStart"/>
      <w:r>
        <w:t>Specific</w:t>
      </w:r>
      <w:proofErr w:type="spellEnd"/>
      <w:r>
        <w:t xml:space="preserve"> </w:t>
      </w:r>
      <w:proofErr w:type="spellStart"/>
      <w:r>
        <w:t>Competencies</w:t>
      </w:r>
      <w:proofErr w:type="spellEnd"/>
      <w:r>
        <w:t xml:space="preserve"> </w:t>
      </w:r>
      <w:proofErr w:type="spellStart"/>
      <w:r>
        <w:t>Lines</w:t>
      </w:r>
      <w:proofErr w:type="spellEnd"/>
      <w:r>
        <w:t xml:space="preserve"> (</w:t>
      </w:r>
      <w:proofErr w:type="spellStart"/>
      <w:r>
        <w:t>SocPL</w:t>
      </w:r>
      <w:proofErr w:type="spellEnd"/>
      <w:r>
        <w:t>)</w:t>
      </w:r>
    </w:p>
    <w:sectPr w:rsidR="00757A69">
      <w:footerReference w:type="default" r:id="rId49"/>
      <w:pgSz w:w="11910" w:h="16850"/>
      <w:pgMar w:top="1600" w:right="120" w:bottom="280" w:left="3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D37012" w14:textId="77777777" w:rsidR="00225481" w:rsidRDefault="00225481">
      <w:r>
        <w:separator/>
      </w:r>
    </w:p>
  </w:endnote>
  <w:endnote w:type="continuationSeparator" w:id="0">
    <w:p w14:paraId="3B5D74F0" w14:textId="77777777" w:rsidR="00225481" w:rsidRDefault="00225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rebuchet MS">
    <w:altName w:val="Trebuchet MS"/>
    <w:panose1 w:val="020B0603020202020204"/>
    <w:charset w:val="EE"/>
    <w:family w:val="swiss"/>
    <w:pitch w:val="variable"/>
    <w:sig w:usb0="00000687" w:usb1="00000000" w:usb2="00000000" w:usb3="00000000" w:csb0="0000009F" w:csb1="00000000"/>
  </w:font>
  <w:font w:name="Georgia">
    <w:altName w:val="Georgia"/>
    <w:panose1 w:val="02040502050405020303"/>
    <w:charset w:val="EE"/>
    <w:family w:val="roman"/>
    <w:pitch w:val="variable"/>
    <w:sig w:usb0="00000287" w:usb1="00000000" w:usb2="00000000" w:usb3="00000000" w:csb0="0000009F" w:csb1="00000000"/>
  </w:font>
  <w:font w:name="Tahoma">
    <w:altName w:val="Tahoma"/>
    <w:panose1 w:val="020B0604030504040204"/>
    <w:charset w:val="EE"/>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21B99" w14:textId="77777777" w:rsidR="00757A69" w:rsidRDefault="00000000">
    <w:pPr>
      <w:pStyle w:val="Telobesedila"/>
      <w:spacing w:line="14" w:lineRule="auto"/>
    </w:pPr>
    <w:r>
      <w:pict w14:anchorId="4B2CF2FB">
        <v:rect id="_x0000_s1026" style="position:absolute;margin-left:0;margin-top:825pt;width:595.5pt;height:17.25pt;z-index:-15889920;mso-position-horizontal-relative:page;mso-position-vertical-relative:page" fillcolor="#153c61" stroked="f">
          <w10:wrap anchorx="page" anchory="page"/>
        </v: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65197" w14:textId="77777777" w:rsidR="00757A69" w:rsidRDefault="00757A69">
    <w:pPr>
      <w:pStyle w:val="Telobesedila"/>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208F3" w14:textId="77777777" w:rsidR="00757A69" w:rsidRDefault="00000000">
    <w:pPr>
      <w:pStyle w:val="Telobesedila"/>
      <w:spacing w:line="14" w:lineRule="auto"/>
    </w:pPr>
    <w:r>
      <w:pict w14:anchorId="167273FB">
        <v:rect id="_x0000_s1025" style="position:absolute;margin-left:0;margin-top:825pt;width:595.5pt;height:17.25pt;z-index:-15889408;mso-position-horizontal-relative:page;mso-position-vertical-relative:page" fillcolor="#153c61" stroked="f">
          <w10:wrap anchorx="page" anchory="page"/>
        </v:rect>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3C2AF" w14:textId="77777777" w:rsidR="00757A69" w:rsidRDefault="00757A69">
    <w:pPr>
      <w:pStyle w:val="Telobesedila"/>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A0C238" w14:textId="77777777" w:rsidR="00225481" w:rsidRDefault="00225481">
      <w:r>
        <w:separator/>
      </w:r>
    </w:p>
  </w:footnote>
  <w:footnote w:type="continuationSeparator" w:id="0">
    <w:p w14:paraId="46360580" w14:textId="77777777" w:rsidR="00225481" w:rsidRDefault="002254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66"/>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57A69"/>
    <w:rsid w:val="00225481"/>
    <w:rsid w:val="00757A69"/>
    <w:rsid w:val="00C91EFF"/>
    <w:rsid w:val="00EF129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364A887D"/>
  <w15:docId w15:val="{73929B89-81DC-4224-A20B-50A0EA995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sl" w:eastAsia="sl-SI"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Verdana" w:eastAsia="Verdana" w:hAnsi="Verdana" w:cs="Verdana"/>
    </w:rPr>
  </w:style>
  <w:style w:type="paragraph" w:styleId="Naslov1">
    <w:name w:val="heading 1"/>
    <w:basedOn w:val="Navaden"/>
    <w:uiPriority w:val="9"/>
    <w:qFormat/>
    <w:pPr>
      <w:spacing w:before="145"/>
      <w:ind w:left="243"/>
      <w:outlineLvl w:val="0"/>
    </w:pPr>
    <w:rPr>
      <w:rFonts w:ascii="Trebuchet MS" w:eastAsia="Trebuchet MS" w:hAnsi="Trebuchet MS" w:cs="Trebuchet MS"/>
      <w:b/>
      <w:sz w:val="5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0"/>
    </w:rPr>
  </w:style>
  <w:style w:type="paragraph" w:styleId="Naslov">
    <w:name w:val="Title"/>
    <w:basedOn w:val="Navaden"/>
    <w:uiPriority w:val="10"/>
    <w:qFormat/>
    <w:pPr>
      <w:spacing w:before="91" w:line="1086" w:lineRule="exact"/>
      <w:ind w:left="476"/>
    </w:pPr>
    <w:rPr>
      <w:rFonts w:ascii="Times New Roman" w:eastAsia="Times New Roman" w:hAnsi="Times New Roman" w:cs="Times New Roman"/>
      <w:b/>
      <w:sz w:val="100"/>
    </w:rPr>
  </w:style>
  <w:style w:type="paragraph" w:styleId="Odstavekseznama">
    <w:name w:val="List Paragraph"/>
    <w:basedOn w:val="Navaden"/>
    <w:uiPriority w:val="1"/>
    <w:qFormat/>
  </w:style>
  <w:style w:type="paragraph" w:customStyle="1" w:styleId="TableParagraph">
    <w:name w:val="Table Paragraph"/>
    <w:basedOn w:val="Navaden"/>
    <w:uiPriority w:val="1"/>
    <w:qFormat/>
  </w:style>
  <w:style w:type="paragraph" w:customStyle="1" w:styleId="P68B1DB1-Normal1">
    <w:name w:val="P68B1DB1-Normal1"/>
    <w:basedOn w:val="Navaden"/>
    <w:rPr>
      <w:color w:val="FFFFFF"/>
    </w:rPr>
  </w:style>
  <w:style w:type="paragraph" w:customStyle="1" w:styleId="P68B1DB1-Title2">
    <w:name w:val="P68B1DB1-Title2"/>
    <w:basedOn w:val="Naslov"/>
    <w:rPr>
      <w:color w:val="FFFFFF"/>
    </w:rPr>
  </w:style>
  <w:style w:type="paragraph" w:customStyle="1" w:styleId="P68B1DB1-Normal3">
    <w:name w:val="P68B1DB1-Normal3"/>
    <w:basedOn w:val="Navaden"/>
    <w:rPr>
      <w:rFonts w:ascii="Georgia"/>
      <w:color w:val="FFFFFF"/>
      <w:sz w:val="100"/>
    </w:rPr>
  </w:style>
  <w:style w:type="paragraph" w:customStyle="1" w:styleId="P68B1DB1-BodyText4">
    <w:name w:val="P68B1DB1-BodyText4"/>
    <w:basedOn w:val="Telobesedila"/>
    <w:rPr>
      <w:color w:val="FFFFFF"/>
    </w:rPr>
  </w:style>
  <w:style w:type="paragraph" w:customStyle="1" w:styleId="P68B1DB1-Normal5">
    <w:name w:val="P68B1DB1-Normal5"/>
    <w:basedOn w:val="Navaden"/>
    <w:rPr>
      <w:b/>
      <w:color w:val="FFFFFF"/>
      <w:sz w:val="24"/>
    </w:rPr>
  </w:style>
  <w:style w:type="paragraph" w:customStyle="1" w:styleId="P68B1DB1-Normal6">
    <w:name w:val="P68B1DB1-Normal6"/>
    <w:basedOn w:val="Navaden"/>
    <w:rPr>
      <w:color w:val="FFFFFF"/>
      <w:sz w:val="24"/>
    </w:rPr>
  </w:style>
  <w:style w:type="paragraph" w:customStyle="1" w:styleId="P68B1DB1-Normal7">
    <w:name w:val="P68B1DB1-Normal7"/>
    <w:basedOn w:val="Navaden"/>
    <w:rPr>
      <w:i/>
      <w:sz w:val="20"/>
    </w:rPr>
  </w:style>
  <w:style w:type="paragraph" w:customStyle="1" w:styleId="P68B1DB1-Heading18">
    <w:name w:val="P68B1DB1-Heading18"/>
    <w:basedOn w:val="Naslov1"/>
    <w:rPr>
      <w:color w:val="153C61"/>
    </w:rPr>
  </w:style>
  <w:style w:type="paragraph" w:customStyle="1" w:styleId="P68B1DB1-BodyText9">
    <w:name w:val="P68B1DB1-BodyText9"/>
    <w:basedOn w:val="Telobesedila"/>
    <w:rPr>
      <w:color w:val="212121"/>
    </w:rPr>
  </w:style>
  <w:style w:type="paragraph" w:customStyle="1" w:styleId="P68B1DB1-BodyText10">
    <w:name w:val="P68B1DB1-BodyText10"/>
    <w:basedOn w:val="Telobesedila"/>
    <w:rPr>
      <w:color w:val="212121"/>
      <w:u w:val="single" w:color="212121"/>
    </w:rPr>
  </w:style>
  <w:style w:type="character" w:styleId="Hiperpovezava">
    <w:name w:val="Hyperlink"/>
    <w:basedOn w:val="Privzetapisavaodstavka"/>
    <w:uiPriority w:val="99"/>
    <w:unhideWhenUsed/>
    <w:rsid w:val="00EF129F"/>
    <w:rPr>
      <w:color w:val="0000FF" w:themeColor="hyperlink"/>
      <w:u w:val="single"/>
    </w:rPr>
  </w:style>
  <w:style w:type="character" w:styleId="Nerazreenaomemba">
    <w:name w:val="Unresolved Mention"/>
    <w:basedOn w:val="Privzetapisavaodstavka"/>
    <w:uiPriority w:val="99"/>
    <w:semiHidden/>
    <w:unhideWhenUsed/>
    <w:rsid w:val="00EF12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c.europa.eu/social/main.jsp?catId=1147" TargetMode="External"/><Relationship Id="rId26" Type="http://schemas.openxmlformats.org/officeDocument/2006/relationships/hyperlink" Target="https://ec.europa.eu/social/main.jsp?langId=en&amp;catId=89&amp;furtherNews=yes&amp;newsId=10854" TargetMode="External"/><Relationship Id="rId39" Type="http://schemas.openxmlformats.org/officeDocument/2006/relationships/image" Target="media/image10.jpeg"/><Relationship Id="rId21" Type="http://schemas.openxmlformats.org/officeDocument/2006/relationships/hyperlink" Target="https://ec.europa.eu/social/main.jsp?langId=en&amp;catId=1147&amp;newsId=10813&amp;furtherNews=yes&amp;preview=cHJldkVtcGxQb3J0YWwhMjAxMjAyMTVwcmV2aWV3" TargetMode="External"/><Relationship Id="rId34" Type="http://schemas.openxmlformats.org/officeDocument/2006/relationships/hyperlink" Target="https://cinea.ec.europa.eu/news-events/news/eu-invests-record-eu7-billion-sustainable-safe-and-smart-transport-infrastructure-2024-07-17_en" TargetMode="External"/><Relationship Id="rId42" Type="http://schemas.openxmlformats.org/officeDocument/2006/relationships/hyperlink" Target="https://www.gsevee.gr/en-us/about" TargetMode="External"/><Relationship Id="rId47" Type="http://schemas.openxmlformats.org/officeDocument/2006/relationships/hyperlink" Target="https://www.smeunited.eu/" TargetMode="Externa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hyperlink" Target="https://ec.europa.eu/social/main.jsp?catId=1147" TargetMode="External"/><Relationship Id="rId29" Type="http://schemas.openxmlformats.org/officeDocument/2006/relationships/hyperlink" Target="https://ec.europa.eu/social/main.jsp?langId=en&amp;catId=89&amp;furtherNews=yes&amp;newsId=10853" TargetMode="External"/><Relationship Id="rId11" Type="http://schemas.openxmlformats.org/officeDocument/2006/relationships/image" Target="media/image4.jpeg"/><Relationship Id="rId24" Type="http://schemas.openxmlformats.org/officeDocument/2006/relationships/hyperlink" Target="https://ec.europa.eu/social/main.jsp?langId=en&amp;catId=89&amp;furtherNews=yes&amp;newsId=10854" TargetMode="External"/><Relationship Id="rId32" Type="http://schemas.openxmlformats.org/officeDocument/2006/relationships/hyperlink" Target="https://cinea.ec.europa.eu/news-events/news/eu-invests-record-eu7-billion-sustainable-safe-and-smart-transport-infrastructure-2024-07-17_en" TargetMode="External"/><Relationship Id="rId37" Type="http://schemas.openxmlformats.org/officeDocument/2006/relationships/hyperlink" Target="https://ec.europa.eu/commission/presscorner/detail/en/ip_24_3666" TargetMode="External"/><Relationship Id="rId40" Type="http://schemas.openxmlformats.org/officeDocument/2006/relationships/image" Target="media/image11.png"/><Relationship Id="rId45" Type="http://schemas.openxmlformats.org/officeDocument/2006/relationships/hyperlink" Target="https://www.unizo.be/"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ec.europa.eu/social/main.jsp?langId=en&amp;catId=89&amp;furtherNews=yes&amp;newsId=10854" TargetMode="External"/><Relationship Id="rId28" Type="http://schemas.openxmlformats.org/officeDocument/2006/relationships/hyperlink" Target="https://ec.europa.eu/social/main.jsp?langId=en&amp;catId=89&amp;furtherNews=yes&amp;newsId=10853" TargetMode="External"/><Relationship Id="rId36" Type="http://schemas.openxmlformats.org/officeDocument/2006/relationships/hyperlink" Target="https://ec.europa.eu/commission/presscorner/detail/en/ip_24_3666" TargetMode="External"/><Relationship Id="rId49"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hyperlink" Target="https://ec.europa.eu/social/main.jsp?langId=en&amp;catId=1147&amp;newsId=10813&amp;furtherNews=yes&amp;preview=cHJldkVtcGxQb3J0YWwhMjAxMjAyMTVwcmV2aWV3" TargetMode="External"/><Relationship Id="rId31" Type="http://schemas.openxmlformats.org/officeDocument/2006/relationships/hyperlink" Target="https://ec.europa.eu/social/main.jsp?langId=en&amp;catId=89&amp;furtherNews=yes&amp;newsId=10853" TargetMode="External"/><Relationship Id="rId44" Type="http://schemas.openxmlformats.org/officeDocument/2006/relationships/hyperlink" Target="https://www.cna.it/" TargetMode="External"/><Relationship Id="rId4" Type="http://schemas.openxmlformats.org/officeDocument/2006/relationships/footnotes" Target="footnotes.xml"/><Relationship Id="rId9" Type="http://schemas.openxmlformats.org/officeDocument/2006/relationships/hyperlink" Target="https://transport.ec.europa.eu/transport-modes/maritime/decarbonising-maritime-transport-fueleu-maritime_en" TargetMode="Externa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hyperlink" Target="https://ec.europa.eu/social/main.jsp?langId=en&amp;catId=89&amp;furtherNews=yes&amp;newsId=10853" TargetMode="External"/><Relationship Id="rId35" Type="http://schemas.openxmlformats.org/officeDocument/2006/relationships/image" Target="media/image8.png"/><Relationship Id="rId43" Type="http://schemas.openxmlformats.org/officeDocument/2006/relationships/hyperlink" Target="https://www.gsevee.gr/en-us/about" TargetMode="External"/><Relationship Id="rId48" Type="http://schemas.openxmlformats.org/officeDocument/2006/relationships/hyperlink" Target="https://www.ozs.si/english" TargetMode="Externa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commission.europa.eu/about-european-commission/president-elect-ursula-von-der-leyen_en" TargetMode="External"/><Relationship Id="rId17" Type="http://schemas.openxmlformats.org/officeDocument/2006/relationships/hyperlink" Target="https://ec.europa.eu/social/main.jsp?catId=1147" TargetMode="External"/><Relationship Id="rId25" Type="http://schemas.openxmlformats.org/officeDocument/2006/relationships/hyperlink" Target="https://ec.europa.eu/social/main.jsp?langId=en&amp;catId=89&amp;furtherNews=yes&amp;newsId=10854" TargetMode="External"/><Relationship Id="rId33" Type="http://schemas.openxmlformats.org/officeDocument/2006/relationships/hyperlink" Target="https://cinea.ec.europa.eu/news-events/news/eu-invests-record-eu7-billion-sustainable-safe-and-smart-transport-infrastructure-2024-07-17_en" TargetMode="External"/><Relationship Id="rId38" Type="http://schemas.openxmlformats.org/officeDocument/2006/relationships/image" Target="media/image9.jpeg"/><Relationship Id="rId46" Type="http://schemas.openxmlformats.org/officeDocument/2006/relationships/hyperlink" Target="https://www.confartigianato.it/" TargetMode="External"/><Relationship Id="rId20" Type="http://schemas.openxmlformats.org/officeDocument/2006/relationships/hyperlink" Target="https://ec.europa.eu/social/main.jsp?langId=en&amp;catId=1147&amp;newsId=10813&amp;furtherNews=yes&amp;preview=cHJldkVtcGxQb3J0YWwhMjAxMjAyMTVwcmV2aWV3" TargetMode="External"/><Relationship Id="rId41" Type="http://schemas.openxmlformats.org/officeDocument/2006/relationships/hyperlink" Target="https://www.smechamber.mt/about/" TargetMode="External"/><Relationship Id="rId1" Type="http://schemas.openxmlformats.org/officeDocument/2006/relationships/styles" Target="styles.xml"/><Relationship Id="rId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2265</Words>
  <Characters>12912</Characters>
  <Application>Microsoft Office Word</Application>
  <DocSecurity>0</DocSecurity>
  <Lines>107</Lines>
  <Paragraphs>30</Paragraphs>
  <ScaleCrop>false</ScaleCrop>
  <Company/>
  <LinksUpToDate>false</LinksUpToDate>
  <CharactersWithSpaces>15147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ioreSME - Newsletter 08</dc:title>
  <dc:creator>Jes Saliba</dc:creator>
  <cp:keywords>DAGMBdOecNE,BAC10EYxlrU</cp:keywords>
  <cp:lastModifiedBy>Maja Rigač</cp:lastModifiedBy>
  <cp:revision>2</cp:revision>
  <dcterms:created xsi:type="dcterms:W3CDTF">2024-07-26T06:19:00Z</dcterms:created>
  <dcterms:modified xsi:type="dcterms:W3CDTF">2024-07-26T11:27:00Z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2024-07-26T00:00:00Z</vt:filetime>
  </property>
  <property fmtid="{D5CDD505-2E9C-101B-9397-08002B2CF9AE}" pid="3" name="Creator">
    <vt:lpwstr>Canva</vt:lpwstr>
  </property>
  <property fmtid="{D5CDD505-2E9C-101B-9397-08002B2CF9AE}" pid="4" name="LastSaved">
    <vt:filetime>2024-07-26T00:00:00Z</vt:filetime>
  </property>
</Properties>
</file>